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6F46" w14:textId="77777777" w:rsidR="00EA6DDD" w:rsidRDefault="00EA6DDD" w:rsidP="00903FA2">
      <w:pPr>
        <w:pStyle w:val="PRN"/>
      </w:pPr>
      <w: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6D79ACE4" w14:textId="77777777" w:rsidR="00B353F7" w:rsidRPr="003B1A6A" w:rsidRDefault="00B353F7" w:rsidP="00D57D6E">
      <w:pPr>
        <w:pStyle w:val="PRN"/>
      </w:pPr>
      <w:r>
        <w:t>Tenant:  Replace instances of “Port” with “Tenant” unless otherwise noted.</w:t>
      </w:r>
    </w:p>
    <w:p w14:paraId="6FEA8636" w14:textId="77777777" w:rsidR="00376A52" w:rsidRDefault="00376A52" w:rsidP="00062E21">
      <w:pPr>
        <w:pStyle w:val="SCT"/>
      </w:pPr>
      <w:r>
        <w:t xml:space="preserve">SECTION </w:t>
      </w:r>
      <w:r w:rsidR="00F10B42">
        <w:t>01110</w:t>
      </w:r>
      <w:r w:rsidR="00EB54FF">
        <w:t>0</w:t>
      </w:r>
      <w:r>
        <w:t xml:space="preserve"> - </w:t>
      </w:r>
      <w:r w:rsidR="00F10B42">
        <w:t>SUMMARY OF WORK</w:t>
      </w:r>
    </w:p>
    <w:p w14:paraId="132BA84D" w14:textId="77777777" w:rsidR="00316986" w:rsidRDefault="00316986" w:rsidP="00316986">
      <w:pPr>
        <w:pStyle w:val="PRT"/>
        <w:keepNext/>
        <w:keepLines/>
      </w:pPr>
      <w:r>
        <w:t>GENERAL</w:t>
      </w:r>
    </w:p>
    <w:p w14:paraId="0CE44DFE" w14:textId="77777777" w:rsidR="003D17CD" w:rsidRDefault="003D17CD" w:rsidP="009B332F">
      <w:pPr>
        <w:pStyle w:val="ART"/>
        <w:keepNext/>
        <w:keepLines/>
      </w:pPr>
      <w:r>
        <w:t>DESCRIPTION</w:t>
      </w:r>
    </w:p>
    <w:p w14:paraId="2D90CFB5" w14:textId="77777777" w:rsidR="003D17CD" w:rsidRDefault="003D17CD" w:rsidP="00062E21">
      <w:pPr>
        <w:pStyle w:val="PR1"/>
      </w:pPr>
      <w:r>
        <w:t>The work includes but is not limited to:</w:t>
      </w:r>
    </w:p>
    <w:p w14:paraId="277D22B4" w14:textId="77777777" w:rsidR="00931456" w:rsidRDefault="00931456" w:rsidP="00336D8D">
      <w:pPr>
        <w:suppressAutoHyphens/>
        <w:spacing w:before="240"/>
        <w:ind w:left="878"/>
      </w:pPr>
    </w:p>
    <w:p w14:paraId="06A925F7" w14:textId="77777777" w:rsidR="00036F5D" w:rsidRDefault="00036F5D" w:rsidP="00336D8D">
      <w:pPr>
        <w:suppressAutoHyphens/>
        <w:spacing w:before="240"/>
        <w:ind w:left="878"/>
      </w:pPr>
    </w:p>
    <w:p w14:paraId="22222EA7" w14:textId="77777777" w:rsidR="004812DB" w:rsidRDefault="00C852F4" w:rsidP="00D57D6E">
      <w:pPr>
        <w:pStyle w:val="PRN"/>
      </w:pPr>
      <w:r>
        <w:t xml:space="preserve">Coordinate with </w:t>
      </w:r>
      <w:r w:rsidR="005F16ED">
        <w:t>project front e</w:t>
      </w:r>
      <w:r>
        <w:t>nd and d</w:t>
      </w:r>
      <w:r w:rsidR="004812DB">
        <w:t xml:space="preserve">elete B for </w:t>
      </w:r>
      <w:r w:rsidR="00F07C79">
        <w:t>projects that do not require wage rates.</w:t>
      </w:r>
      <w:r w:rsidR="006A20AB">
        <w:t xml:space="preserve">  See usage notes in call-u</w:t>
      </w:r>
      <w:r>
        <w:t>p template for typical wage rate exceptions.</w:t>
      </w:r>
    </w:p>
    <w:p w14:paraId="14647FCF" w14:textId="77777777" w:rsidR="004812DB" w:rsidRDefault="00F07C79" w:rsidP="004812DB">
      <w:pPr>
        <w:pStyle w:val="PR1"/>
      </w:pPr>
      <w:r>
        <w:t>The existing state prevailing rate of wage and, if applicable, the federal prevailing rate of wage required under the Davis-Bacon Act (40 USC 3141 et seq.) apply to this work.  See the contract documents for more information</w:t>
      </w:r>
      <w:r w:rsidR="004812DB">
        <w:t>.</w:t>
      </w:r>
    </w:p>
    <w:p w14:paraId="6E87D215" w14:textId="77777777" w:rsidR="003D17CD" w:rsidRDefault="003D17CD" w:rsidP="00D57D6E">
      <w:pPr>
        <w:pStyle w:val="PRN"/>
      </w:pPr>
      <w:r>
        <w:t xml:space="preserve">Use when </w:t>
      </w:r>
      <w:r w:rsidR="00156A24">
        <w:t>airport</w:t>
      </w:r>
      <w:r w:rsidR="00597751">
        <w:t>, headquarters,</w:t>
      </w:r>
      <w:r w:rsidR="00156A24">
        <w:t xml:space="preserve"> or marine security badges are required, and remember to include appropriate security section in project manual.</w:t>
      </w:r>
    </w:p>
    <w:p w14:paraId="6B935E12" w14:textId="2CFCC7F6" w:rsidR="003D17CD" w:rsidRDefault="003D17CD" w:rsidP="00062E21">
      <w:pPr>
        <w:pStyle w:val="PR1"/>
      </w:pPr>
      <w:r>
        <w:t xml:space="preserve">The work will require the Contractor, </w:t>
      </w:r>
      <w:r w:rsidR="00335409">
        <w:t xml:space="preserve">its </w:t>
      </w:r>
      <w:r>
        <w:t>employees, and subcontractors to obtain and display security identification badges.</w:t>
      </w:r>
    </w:p>
    <w:p w14:paraId="0F8CCEDB" w14:textId="77777777" w:rsidR="00B5671B" w:rsidRPr="001A3692" w:rsidRDefault="00B5671B" w:rsidP="00D57D6E">
      <w:pPr>
        <w:pStyle w:val="PRN"/>
      </w:pPr>
      <w:r>
        <w:t xml:space="preserve">Include this article </w:t>
      </w:r>
      <w:r w:rsidR="000B4CC0">
        <w:t xml:space="preserve">only </w:t>
      </w:r>
      <w:r>
        <w:t xml:space="preserve">if </w:t>
      </w:r>
      <w:r w:rsidR="003F03A1">
        <w:t>there are</w:t>
      </w:r>
      <w:r>
        <w:t xml:space="preserve"> specific time </w:t>
      </w:r>
      <w:r w:rsidR="007F3A96">
        <w:t xml:space="preserve">or traffic </w:t>
      </w:r>
      <w:r>
        <w:t>restrictions</w:t>
      </w:r>
      <w:r w:rsidR="007F3A96">
        <w:t>,</w:t>
      </w:r>
      <w:r w:rsidR="003F03A1" w:rsidRPr="003F03A1">
        <w:t xml:space="preserve"> </w:t>
      </w:r>
      <w:r w:rsidR="007F3A96">
        <w:t xml:space="preserve">phasing requirements, </w:t>
      </w:r>
      <w:r w:rsidR="003F03A1">
        <w:t>or other constraints</w:t>
      </w:r>
      <w:r>
        <w:t xml:space="preserve"> </w:t>
      </w:r>
      <w:r w:rsidR="004F3684">
        <w:t>affecting</w:t>
      </w:r>
      <w:r w:rsidR="00C93D37">
        <w:t xml:space="preserve"> the work</w:t>
      </w:r>
      <w:r w:rsidR="00CE130C">
        <w:t xml:space="preserve"> (e.g., berth ship schedules, runway closures, peak traffic times, etc.)</w:t>
      </w:r>
      <w:r w:rsidRPr="001A3692">
        <w:t>.</w:t>
      </w:r>
      <w:r>
        <w:t xml:space="preserve"> </w:t>
      </w:r>
      <w:r w:rsidR="006379EA">
        <w:t xml:space="preserve"> </w:t>
      </w:r>
      <w:r w:rsidR="00CE130C">
        <w:t xml:space="preserve">Do not specify liquidated </w:t>
      </w:r>
      <w:r w:rsidR="00A705EF">
        <w:t xml:space="preserve">or other monetary </w:t>
      </w:r>
      <w:r w:rsidR="00CE130C">
        <w:t>damage amounts here</w:t>
      </w:r>
      <w:r w:rsidR="00A705EF">
        <w:t xml:space="preserve"> (use Agreement instead)</w:t>
      </w:r>
      <w:r w:rsidR="00CE130C">
        <w:t xml:space="preserve">.  </w:t>
      </w:r>
      <w:r w:rsidR="00A705EF">
        <w:t>This article is not expected to be included in every project; u</w:t>
      </w:r>
      <w:r w:rsidR="00C93D37">
        <w:t xml:space="preserve">se selectively and delete if </w:t>
      </w:r>
      <w:r w:rsidR="00A705EF">
        <w:t>unnecessary</w:t>
      </w:r>
      <w:r>
        <w:t>.</w:t>
      </w:r>
    </w:p>
    <w:p w14:paraId="27E853D8" w14:textId="77777777" w:rsidR="00B5671B" w:rsidRDefault="00B5671B" w:rsidP="00A76F23">
      <w:pPr>
        <w:pStyle w:val="ART"/>
        <w:keepNext/>
        <w:keepLines/>
      </w:pPr>
      <w:r>
        <w:t>WORK AREA RESTRICTIONS</w:t>
      </w:r>
    </w:p>
    <w:p w14:paraId="16E5465C" w14:textId="77777777" w:rsidR="00B5671B" w:rsidRDefault="00A705EF" w:rsidP="004E137B">
      <w:pPr>
        <w:pStyle w:val="PR1"/>
        <w:keepNext/>
      </w:pPr>
      <w:r>
        <w:t>Plan and p</w:t>
      </w:r>
      <w:r w:rsidR="00FB53B7">
        <w:t>erform the work in accordance with the following restrictions</w:t>
      </w:r>
      <w:r w:rsidR="007F3A96" w:rsidRPr="00FB5D2B">
        <w:t>:</w:t>
      </w:r>
    </w:p>
    <w:p w14:paraId="74C8F66F" w14:textId="77777777" w:rsidR="0058588B" w:rsidRDefault="0058588B" w:rsidP="0058588B">
      <w:pPr>
        <w:pStyle w:val="PR2"/>
      </w:pPr>
      <w:r>
        <w:t>______________________________.</w:t>
      </w:r>
    </w:p>
    <w:p w14:paraId="5CA2F74F" w14:textId="77777777" w:rsidR="00602924" w:rsidRPr="00D5665A" w:rsidRDefault="00602924" w:rsidP="00D57D6E">
      <w:pPr>
        <w:pStyle w:val="PRN"/>
      </w:pPr>
      <w:r w:rsidRPr="00D5665A">
        <w:lastRenderedPageBreak/>
        <w:t xml:space="preserve">Only use this article for complex paving projects or paving projects of a very large dollar value.  </w:t>
      </w:r>
      <w:r w:rsidR="005E0835" w:rsidRPr="00D5665A">
        <w:t xml:space="preserve">If </w:t>
      </w:r>
      <w:r w:rsidR="00BE61F7" w:rsidRPr="00D5665A">
        <w:t>the project is asphalt paving, then change “American Concrete Pavement Association” to “Asphalt Institute”</w:t>
      </w:r>
      <w:r w:rsidR="00FD3AD1" w:rsidRPr="00D5665A">
        <w:t xml:space="preserve"> </w:t>
      </w:r>
      <w:r w:rsidR="003834C1" w:rsidRPr="00D5665A">
        <w:t xml:space="preserve">and </w:t>
      </w:r>
      <w:r w:rsidR="00BE61F7" w:rsidRPr="00D5665A">
        <w:t xml:space="preserve">change </w:t>
      </w:r>
      <w:r w:rsidR="003834C1" w:rsidRPr="00D5665A">
        <w:t>“concrete” to “asphalt”</w:t>
      </w:r>
      <w:r w:rsidR="00FD3AD1" w:rsidRPr="00D5665A">
        <w:t xml:space="preserve"> in paragraph A.</w:t>
      </w:r>
    </w:p>
    <w:p w14:paraId="72F67C9E" w14:textId="77777777" w:rsidR="00602924" w:rsidRPr="00D5665A" w:rsidRDefault="00602924" w:rsidP="00602924">
      <w:pPr>
        <w:pStyle w:val="ART"/>
        <w:keepNext/>
        <w:keepLines/>
      </w:pPr>
      <w:r w:rsidRPr="00D5665A">
        <w:t>PRE-CONSTRUCTION PAVING SEMINAR</w:t>
      </w:r>
    </w:p>
    <w:p w14:paraId="7517C151" w14:textId="77777777" w:rsidR="00602924" w:rsidRPr="00D5665A" w:rsidRDefault="00602924" w:rsidP="00602924">
      <w:pPr>
        <w:pStyle w:val="PR1"/>
      </w:pPr>
      <w:r w:rsidRPr="00D5665A">
        <w:t xml:space="preserve">The Contractor shall schedule and require designated personnel to attend a four-hour Port seminar sponsored by the American Concrete Pavement Association regarding the principles of construction of quality concrete pavements.  </w:t>
      </w:r>
      <w:r w:rsidR="0024368B" w:rsidRPr="00D5665A">
        <w:t xml:space="preserve">The seminar will be held locally.  </w:t>
      </w:r>
      <w:r w:rsidRPr="00D5665A">
        <w:t>Contractor attendees shall include the Contractor’s foreman, paving contractor, paving quality control personnel, plant operator, and all paving crew members.</w:t>
      </w:r>
    </w:p>
    <w:p w14:paraId="2B602D73" w14:textId="77777777" w:rsidR="00794BF0" w:rsidRPr="00D5665A" w:rsidRDefault="003834C1" w:rsidP="00794BF0">
      <w:pPr>
        <w:pStyle w:val="PR1"/>
      </w:pPr>
      <w:r w:rsidRPr="00D5665A">
        <w:t>P</w:t>
      </w:r>
      <w:r w:rsidR="00794BF0" w:rsidRPr="00D5665A">
        <w:t>aving operations will not be permitted until the Contractor’s designated personnel have attended this paving seminar.</w:t>
      </w:r>
    </w:p>
    <w:p w14:paraId="23BC5358" w14:textId="77777777" w:rsidR="00794BF0" w:rsidRPr="00D5665A" w:rsidRDefault="00794BF0" w:rsidP="00794BF0">
      <w:pPr>
        <w:pStyle w:val="PR1"/>
      </w:pPr>
      <w:r w:rsidRPr="00D5665A">
        <w:t xml:space="preserve">The Contractor shall schedule the seminar date with the Port at the preconstruction meeting, allowing the Port </w:t>
      </w:r>
      <w:r w:rsidR="003834C1" w:rsidRPr="00D5665A">
        <w:t xml:space="preserve">a minimum of </w:t>
      </w:r>
      <w:r w:rsidRPr="00D5665A">
        <w:t xml:space="preserve">3 weeks </w:t>
      </w:r>
      <w:r w:rsidR="003834C1" w:rsidRPr="00D5665A">
        <w:t xml:space="preserve">advance notice to prepare </w:t>
      </w:r>
      <w:r w:rsidRPr="00D5665A">
        <w:t>the seminar.</w:t>
      </w:r>
    </w:p>
    <w:p w14:paraId="0AD62426" w14:textId="77777777" w:rsidR="00B5671B" w:rsidRPr="001A3692" w:rsidRDefault="00B5671B" w:rsidP="00D57D6E">
      <w:pPr>
        <w:pStyle w:val="PRN"/>
      </w:pPr>
      <w:r w:rsidRPr="001A3692">
        <w:t>Fill in if new or remodel building construction.</w:t>
      </w:r>
    </w:p>
    <w:p w14:paraId="54357CBA" w14:textId="77777777" w:rsidR="003D17CD" w:rsidRDefault="003D17CD" w:rsidP="00A76F23">
      <w:pPr>
        <w:pStyle w:val="ART"/>
        <w:keepNext/>
        <w:keepLines/>
      </w:pPr>
      <w:r>
        <w:t>PROPOSED OCCUPANCY AND TYPE OF CONSTRUCTION</w:t>
      </w:r>
    </w:p>
    <w:p w14:paraId="22FECAE2" w14:textId="77777777" w:rsidR="003D17CD" w:rsidRDefault="003D17CD" w:rsidP="00062E21">
      <w:pPr>
        <w:pStyle w:val="PR1"/>
      </w:pPr>
    </w:p>
    <w:p w14:paraId="23B9F561" w14:textId="77777777" w:rsidR="00370FDD" w:rsidRDefault="00370FDD" w:rsidP="00D57D6E">
      <w:pPr>
        <w:pStyle w:val="PRN"/>
      </w:pPr>
      <w:r>
        <w:t>Tenant:  Delete this article entirely.</w:t>
      </w:r>
    </w:p>
    <w:p w14:paraId="30074356" w14:textId="77777777" w:rsidR="00BC6F3B" w:rsidRPr="00E84F31" w:rsidRDefault="00BC6F3B" w:rsidP="004E137B">
      <w:pPr>
        <w:keepNext/>
        <w:rPr>
          <w:sz w:val="2"/>
          <w:szCs w:val="2"/>
        </w:rPr>
      </w:pPr>
    </w:p>
    <w:p w14:paraId="21AEFD74" w14:textId="77777777" w:rsidR="00BC6F3B" w:rsidRDefault="0005566F" w:rsidP="00D57D6E">
      <w:pPr>
        <w:pStyle w:val="PRN"/>
      </w:pPr>
      <w:r>
        <w:t xml:space="preserve">Do not use article for typical permits (such as building, plumbing, electrical, etc.), which are covered in the GCs.  </w:t>
      </w:r>
      <w:r w:rsidR="00BC6F3B">
        <w:t xml:space="preserve">Only include this article to identify </w:t>
      </w:r>
      <w:r w:rsidR="00BC6F3B" w:rsidRPr="00E84F31">
        <w:t>unusual permits</w:t>
      </w:r>
      <w:r w:rsidR="00BC6F3B">
        <w:t xml:space="preserve"> specific to the work, such as ACOE, DSL, etc.  Edit as appropriate.  </w:t>
      </w:r>
    </w:p>
    <w:p w14:paraId="513E225B" w14:textId="77777777" w:rsidR="00443120" w:rsidRPr="00E84F31" w:rsidRDefault="00443120" w:rsidP="00E84F31">
      <w:pPr>
        <w:keepNext/>
        <w:rPr>
          <w:sz w:val="2"/>
          <w:szCs w:val="2"/>
        </w:rPr>
      </w:pPr>
    </w:p>
    <w:p w14:paraId="57B8E761" w14:textId="77777777" w:rsidR="00443120" w:rsidRDefault="00443120" w:rsidP="00D57D6E">
      <w:pPr>
        <w:pStyle w:val="PRN"/>
      </w:pPr>
      <w:r>
        <w:t>For dredging projects, add the following as a new paragraph, “</w:t>
      </w:r>
      <w:r w:rsidRPr="00AE0EC3">
        <w:t>The Contractor shall be responsible for fees incurred due to exceeding the maximum permitted depth</w:t>
      </w:r>
      <w:r>
        <w:t>.”</w:t>
      </w:r>
    </w:p>
    <w:p w14:paraId="6B916AC6" w14:textId="77777777" w:rsidR="000A25A9" w:rsidRDefault="000A25A9" w:rsidP="00A76F23">
      <w:pPr>
        <w:pStyle w:val="ART"/>
        <w:keepNext/>
        <w:keepLines/>
      </w:pPr>
      <w:r>
        <w:t>PERMITS</w:t>
      </w:r>
    </w:p>
    <w:p w14:paraId="44BA1568" w14:textId="77777777" w:rsidR="000A25A9" w:rsidRDefault="000A25A9" w:rsidP="00C536B8">
      <w:pPr>
        <w:pStyle w:val="PR1"/>
        <w:keepNext/>
      </w:pPr>
      <w:r>
        <w:t>The Port has procured the following permits which are included in the project manual as Exhibit [A]:</w:t>
      </w:r>
    </w:p>
    <w:p w14:paraId="31D40AC7" w14:textId="77777777" w:rsidR="000A25A9" w:rsidRDefault="000A25A9" w:rsidP="000A25A9">
      <w:pPr>
        <w:pStyle w:val="PR2"/>
      </w:pPr>
      <w:r>
        <w:t>name here</w:t>
      </w:r>
    </w:p>
    <w:p w14:paraId="2EAE3F86" w14:textId="77777777" w:rsidR="000A25A9" w:rsidRDefault="000A25A9" w:rsidP="00C536B8">
      <w:pPr>
        <w:pStyle w:val="PR1"/>
        <w:keepNext/>
      </w:pPr>
      <w:r>
        <w:t>The Port is in the process of obtaining the following permit.  The application is included as Exhibit [A].</w:t>
      </w:r>
    </w:p>
    <w:p w14:paraId="6DC7B93D" w14:textId="77777777" w:rsidR="000A25A9" w:rsidRDefault="000A25A9" w:rsidP="000A25A9">
      <w:pPr>
        <w:pStyle w:val="PR2"/>
      </w:pPr>
      <w:r>
        <w:t>name here</w:t>
      </w:r>
    </w:p>
    <w:p w14:paraId="221A56E4" w14:textId="77777777" w:rsidR="000A25A9" w:rsidRDefault="000A25A9" w:rsidP="000A25A9">
      <w:pPr>
        <w:pStyle w:val="PR1"/>
      </w:pPr>
      <w:r>
        <w:t xml:space="preserve">The Contractor shall </w:t>
      </w:r>
      <w:r w:rsidR="00B057CB">
        <w:t>become familiar</w:t>
      </w:r>
      <w:r>
        <w:t xml:space="preserve"> with the permit and ensure full compliance with all of its conditions.</w:t>
      </w:r>
    </w:p>
    <w:p w14:paraId="67843ADF" w14:textId="77777777" w:rsidR="000A25A9" w:rsidRDefault="000A25A9" w:rsidP="000A25A9">
      <w:pPr>
        <w:pStyle w:val="PR1"/>
      </w:pPr>
      <w:r>
        <w:t>Conflicts, if any, between the contract documents and issued permits, observed by the Contractor, shall be brought to the attention of the Port immediately.</w:t>
      </w:r>
    </w:p>
    <w:p w14:paraId="56D3793E" w14:textId="77777777" w:rsidR="000A25A9" w:rsidRDefault="000A25A9" w:rsidP="00D57D6E">
      <w:pPr>
        <w:pStyle w:val="PRN"/>
      </w:pPr>
      <w:r w:rsidRPr="001A3692">
        <w:lastRenderedPageBreak/>
        <w:t>Delete the following if soils report is not available.</w:t>
      </w:r>
      <w:r>
        <w:t xml:space="preserve">  If retained, choose A or B (B is for soils report specific to the project).</w:t>
      </w:r>
    </w:p>
    <w:p w14:paraId="09DF1F83" w14:textId="77777777" w:rsidR="00A051E5" w:rsidRPr="00E84F31" w:rsidRDefault="00A051E5">
      <w:pPr>
        <w:keepNext/>
        <w:rPr>
          <w:sz w:val="2"/>
          <w:szCs w:val="2"/>
        </w:rPr>
      </w:pPr>
    </w:p>
    <w:p w14:paraId="4FC88BDA" w14:textId="77777777" w:rsidR="00A051E5" w:rsidRDefault="00A051E5" w:rsidP="00D57D6E">
      <w:pPr>
        <w:pStyle w:val="PRN"/>
      </w:pPr>
      <w:r>
        <w:t>Tenants:  Contact the Port concerning availability.</w:t>
      </w:r>
    </w:p>
    <w:p w14:paraId="5BAA0AED" w14:textId="77777777" w:rsidR="000A25A9" w:rsidRPr="00D579BB" w:rsidRDefault="000A25A9" w:rsidP="000A25A9">
      <w:pPr>
        <w:pStyle w:val="ART"/>
        <w:keepNext/>
      </w:pPr>
      <w:r w:rsidRPr="00D579BB">
        <w:t>SOILS INFORMATION</w:t>
      </w:r>
    </w:p>
    <w:p w14:paraId="2572130C" w14:textId="77777777" w:rsidR="000A25A9" w:rsidRDefault="000A25A9" w:rsidP="00EC427C">
      <w:pPr>
        <w:pStyle w:val="PR1"/>
      </w:pPr>
      <w:r w:rsidRPr="00061C7E">
        <w:t xml:space="preserve">A record of soil exploration in the vicinity of this work is available in the Port Engineering files for examination by the Contractor upon request.  </w:t>
      </w:r>
      <w:r w:rsidRPr="009B6361">
        <w:t xml:space="preserve">The Port makes no representation </w:t>
      </w:r>
      <w:r>
        <w:t>as to the completeness or accuracy of this information.</w:t>
      </w:r>
    </w:p>
    <w:p w14:paraId="24516AE2" w14:textId="77777777" w:rsidR="000A25A9" w:rsidRDefault="000A25A9" w:rsidP="000A25A9">
      <w:pPr>
        <w:pStyle w:val="PR1"/>
      </w:pPr>
      <w:r>
        <w:t>A record of soil exploration in the vicinity of this work is included as Exhibit [X].</w:t>
      </w:r>
    </w:p>
    <w:p w14:paraId="627E2A6E" w14:textId="77777777" w:rsidR="000A25A9" w:rsidRPr="001A3692" w:rsidRDefault="000A25A9" w:rsidP="00D57D6E">
      <w:pPr>
        <w:pStyle w:val="PRN"/>
      </w:pPr>
      <w:r w:rsidRPr="001A3692">
        <w:t>Delete or edit according to presence of known hazardous materials or environmentally sensitive conditions.</w:t>
      </w:r>
      <w:r w:rsidR="00C12138">
        <w:t xml:space="preserve">  If site conditions are not known</w:t>
      </w:r>
      <w:r w:rsidR="00710FAF">
        <w:t xml:space="preserve"> to exist</w:t>
      </w:r>
      <w:r w:rsidR="00C12138">
        <w:t xml:space="preserve">, </w:t>
      </w:r>
      <w:r w:rsidR="00FD43A7">
        <w:t>delete “Known” from the article title and</w:t>
      </w:r>
      <w:r w:rsidR="00C12138">
        <w:t xml:space="preserve"> </w:t>
      </w:r>
      <w:r w:rsidR="00FD43A7">
        <w:t>change the first sentence to</w:t>
      </w:r>
      <w:r w:rsidR="00710FAF">
        <w:t xml:space="preserve"> read, in part, </w:t>
      </w:r>
      <w:r w:rsidR="00FD43A7">
        <w:t>“…or conditions may exist on….”</w:t>
      </w:r>
      <w:r w:rsidR="00CB7403">
        <w:t xml:space="preserve">  If items cited need clarification to</w:t>
      </w:r>
      <w:r w:rsidR="00CB7403" w:rsidRPr="00772C59">
        <w:t xml:space="preserve"> indicate who is responsible and/or the extent of responsibility for managing, containing, or abating that hazardous material</w:t>
      </w:r>
      <w:r w:rsidR="00CB7403">
        <w:t>, add language in additional paragraphs within this article.</w:t>
      </w:r>
    </w:p>
    <w:p w14:paraId="1D2E9EFF" w14:textId="77777777" w:rsidR="000A25A9" w:rsidRPr="00D579BB" w:rsidRDefault="000A25A9" w:rsidP="000A25A9">
      <w:pPr>
        <w:pStyle w:val="ART"/>
        <w:keepNext/>
      </w:pPr>
      <w:r w:rsidRPr="00D579BB">
        <w:t>KNOWN SITE CONDITIONS AFFECTED BY REGULATORY AGENCIES</w:t>
      </w:r>
    </w:p>
    <w:p w14:paraId="209658BB" w14:textId="77777777" w:rsidR="000A25A9" w:rsidRPr="00061C7E" w:rsidRDefault="000A25A9" w:rsidP="00C536B8">
      <w:pPr>
        <w:pStyle w:val="PR1"/>
        <w:keepNext/>
      </w:pPr>
      <w:r w:rsidRPr="00061C7E">
        <w:t>The following materials or conditions are known to exist on the construction site.  The Contractor shall comply with federal, state, or local agencies’ ordinances or regulations pertaining to these conditions:</w:t>
      </w:r>
    </w:p>
    <w:p w14:paraId="42D6CB56" w14:textId="77777777" w:rsidR="000A25A9" w:rsidRDefault="000A25A9" w:rsidP="000A25A9">
      <w:pPr>
        <w:pStyle w:val="PR2"/>
      </w:pPr>
      <w:r>
        <w:t>Asbestos.</w:t>
      </w:r>
    </w:p>
    <w:p w14:paraId="45436E12" w14:textId="77777777" w:rsidR="000A25A9" w:rsidRDefault="000A25A9" w:rsidP="000A25A9">
      <w:pPr>
        <w:pStyle w:val="PR2"/>
      </w:pPr>
      <w:r>
        <w:t>Paint containing lead</w:t>
      </w:r>
      <w:r w:rsidR="00B713BB">
        <w:t>, cadmium, hexavalent chromium,</w:t>
      </w:r>
      <w:r>
        <w:t xml:space="preserve"> or other metals of toxic significance.</w:t>
      </w:r>
    </w:p>
    <w:p w14:paraId="46E27B7C" w14:textId="77777777" w:rsidR="000A25A9" w:rsidRDefault="000A25A9" w:rsidP="000A25A9">
      <w:pPr>
        <w:pStyle w:val="PR2"/>
      </w:pPr>
      <w:r>
        <w:t>Contaminated soil or groundwater.</w:t>
      </w:r>
    </w:p>
    <w:p w14:paraId="79A820CE" w14:textId="77777777" w:rsidR="000A25A9" w:rsidRDefault="000A25A9" w:rsidP="000A25A9">
      <w:pPr>
        <w:pStyle w:val="PR2"/>
      </w:pPr>
      <w:r>
        <w:t>Heavy metals.</w:t>
      </w:r>
    </w:p>
    <w:p w14:paraId="41FF7A18" w14:textId="77777777" w:rsidR="000A25A9" w:rsidRDefault="000A25A9" w:rsidP="000A25A9">
      <w:pPr>
        <w:pStyle w:val="PR2"/>
      </w:pPr>
      <w:r>
        <w:t>Pencil-pitch.</w:t>
      </w:r>
    </w:p>
    <w:p w14:paraId="00FBBCEB" w14:textId="77777777" w:rsidR="000A25A9" w:rsidRDefault="000A25A9" w:rsidP="000A25A9">
      <w:pPr>
        <w:pStyle w:val="PR2"/>
      </w:pPr>
      <w:r>
        <w:t>Grease, oils, fuels, and other hydrocarbons.</w:t>
      </w:r>
    </w:p>
    <w:p w14:paraId="548B40D0" w14:textId="77777777" w:rsidR="000A25A9" w:rsidRDefault="000A25A9" w:rsidP="000A25A9">
      <w:pPr>
        <w:pStyle w:val="PR2"/>
      </w:pPr>
      <w:r>
        <w:t>Phosphorus.</w:t>
      </w:r>
    </w:p>
    <w:p w14:paraId="7D42434D" w14:textId="54D99A95" w:rsidR="000A25A9" w:rsidRDefault="000A25A9" w:rsidP="000A25A9">
      <w:pPr>
        <w:pStyle w:val="PR2"/>
      </w:pPr>
      <w:r>
        <w:t>Polychlorinated biphenyls (PCBs).</w:t>
      </w:r>
    </w:p>
    <w:p w14:paraId="721CE12C" w14:textId="77777777" w:rsidR="000A25A9" w:rsidRDefault="000A25A9" w:rsidP="000A25A9">
      <w:pPr>
        <w:pStyle w:val="PR2"/>
      </w:pPr>
      <w:r>
        <w:t>Chlorofluorocarbons (CFCs).</w:t>
      </w:r>
    </w:p>
    <w:p w14:paraId="58F74D18" w14:textId="77777777" w:rsidR="000A25A9" w:rsidRDefault="000A25A9" w:rsidP="000A25A9">
      <w:pPr>
        <w:pStyle w:val="PR2"/>
      </w:pPr>
      <w:r>
        <w:t>Volatile organic compounds (VOCs).</w:t>
      </w:r>
    </w:p>
    <w:p w14:paraId="22557227" w14:textId="77777777" w:rsidR="000A25A9" w:rsidRDefault="000A25A9" w:rsidP="000A25A9">
      <w:pPr>
        <w:pStyle w:val="PR2"/>
      </w:pPr>
      <w:r>
        <w:t>Environmental (E) – Zone.</w:t>
      </w:r>
    </w:p>
    <w:p w14:paraId="4309133E" w14:textId="13D25B96" w:rsidR="000A25A9" w:rsidRPr="00BB3224" w:rsidRDefault="000A25A9" w:rsidP="001E73F7">
      <w:pPr>
        <w:pStyle w:val="PR2"/>
      </w:pPr>
      <w:r>
        <w:t>Wetland.</w:t>
      </w:r>
    </w:p>
    <w:p w14:paraId="0F83A2D5" w14:textId="77777777" w:rsidR="00032874" w:rsidRDefault="00032874" w:rsidP="00032874">
      <w:pPr>
        <w:pStyle w:val="PR2"/>
      </w:pPr>
      <w:r w:rsidRPr="00032874">
        <w:t>Mercury</w:t>
      </w:r>
      <w:r>
        <w:t>.</w:t>
      </w:r>
    </w:p>
    <w:p w14:paraId="4F578259" w14:textId="644BB50F" w:rsidR="00736780" w:rsidRDefault="00736780" w:rsidP="00032874">
      <w:pPr>
        <w:pStyle w:val="PR2"/>
      </w:pPr>
      <w:r>
        <w:t>Silica.</w:t>
      </w:r>
    </w:p>
    <w:p w14:paraId="4E33F987" w14:textId="77777777" w:rsidR="000A25A9" w:rsidRDefault="000A25A9" w:rsidP="000A25A9">
      <w:pPr>
        <w:pStyle w:val="PR2"/>
      </w:pPr>
      <w:r>
        <w:t>________________________.</w:t>
      </w:r>
    </w:p>
    <w:p w14:paraId="3AF89F3D" w14:textId="68C66255" w:rsidR="000A25A9" w:rsidRPr="001A3692" w:rsidRDefault="000A25A9" w:rsidP="00D57D6E">
      <w:pPr>
        <w:pStyle w:val="PRN"/>
      </w:pPr>
      <w:r>
        <w:t xml:space="preserve">If </w:t>
      </w:r>
      <w:r w:rsidR="00B353F7">
        <w:t>the asbestos item</w:t>
      </w:r>
      <w:r w:rsidR="00C254B1">
        <w:t xml:space="preserve"> is</w:t>
      </w:r>
      <w:r>
        <w:t xml:space="preserve"> cited above,</w:t>
      </w:r>
      <w:r w:rsidR="00C254B1">
        <w:t xml:space="preserve"> include the </w:t>
      </w:r>
      <w:r w:rsidR="0021182B">
        <w:t>following</w:t>
      </w:r>
      <w:r w:rsidR="00C254B1">
        <w:t xml:space="preserve"> paragraph and</w:t>
      </w:r>
      <w:r>
        <w:t xml:space="preserve"> </w:t>
      </w:r>
      <w:r w:rsidR="00D57D6E">
        <w:t xml:space="preserve">delete subparagraph 2 </w:t>
      </w:r>
      <w:r>
        <w:t>as appropriate.</w:t>
      </w:r>
    </w:p>
    <w:p w14:paraId="6F01AFEA" w14:textId="77777777" w:rsidR="000A25A9" w:rsidRDefault="000A25A9" w:rsidP="00C536B8">
      <w:pPr>
        <w:pStyle w:val="PR1"/>
        <w:keepNext/>
      </w:pPr>
      <w:r>
        <w:t>Asbestos Conditions:</w:t>
      </w:r>
    </w:p>
    <w:p w14:paraId="2EC68C29" w14:textId="788FE92D" w:rsidR="000A25A9" w:rsidRDefault="000A25A9" w:rsidP="000A25A9">
      <w:pPr>
        <w:pStyle w:val="PR2"/>
      </w:pPr>
      <w:r>
        <w:t xml:space="preserve">An asbestos analysis is included in the project manual as Exhibit [X].  The Contractor shall not rely on this information to assess </w:t>
      </w:r>
      <w:r w:rsidR="00335409">
        <w:t xml:space="preserve">its </w:t>
      </w:r>
      <w:r w:rsidR="00B9580A">
        <w:t>OR-</w:t>
      </w:r>
      <w:r>
        <w:t>OSHA responsibilities.</w:t>
      </w:r>
    </w:p>
    <w:p w14:paraId="11FBC6F5" w14:textId="77777777" w:rsidR="000A25A9" w:rsidRDefault="000A25A9" w:rsidP="000A25A9">
      <w:pPr>
        <w:pStyle w:val="PR2"/>
      </w:pPr>
      <w:r>
        <w:t>The Contractor shall not disturb items that contain or are suspected of containing asbestos.</w:t>
      </w:r>
    </w:p>
    <w:p w14:paraId="253CABBF" w14:textId="64D087E5" w:rsidR="000A25A9" w:rsidRDefault="000A25A9" w:rsidP="000A25A9">
      <w:pPr>
        <w:pStyle w:val="PR2"/>
      </w:pPr>
      <w:r>
        <w:t xml:space="preserve">The Port will abate the </w:t>
      </w:r>
      <w:r w:rsidRPr="00B125E3">
        <w:t>asbestos-containing material</w:t>
      </w:r>
      <w:r>
        <w:t xml:space="preserve"> </w:t>
      </w:r>
      <w:r w:rsidR="00C733BA">
        <w:t>that would be disturbed by the work, in compliance with OR-OSHA and ORS requirements for worker protection, prior to or in conjunction with</w:t>
      </w:r>
      <w:r>
        <w:t xml:space="preserve"> the Contractor beginning </w:t>
      </w:r>
      <w:r w:rsidR="00B9580A">
        <w:t>work in the area</w:t>
      </w:r>
      <w:r>
        <w:t>.</w:t>
      </w:r>
    </w:p>
    <w:p w14:paraId="239583C3" w14:textId="77777777" w:rsidR="00C254B1" w:rsidRDefault="00C254B1" w:rsidP="00D57D6E">
      <w:pPr>
        <w:pStyle w:val="PRN"/>
      </w:pPr>
      <w:r>
        <w:lastRenderedPageBreak/>
        <w:t xml:space="preserve">If the paint item is cited above, include the </w:t>
      </w:r>
      <w:r w:rsidR="0021182B">
        <w:t>following</w:t>
      </w:r>
      <w:r>
        <w:t xml:space="preserve"> paragraph and edit as appropriate.  </w:t>
      </w:r>
    </w:p>
    <w:p w14:paraId="39ECA213" w14:textId="77777777" w:rsidR="000A25A9" w:rsidRDefault="00B713BB" w:rsidP="00C536B8">
      <w:pPr>
        <w:pStyle w:val="PR1"/>
        <w:keepNext/>
      </w:pPr>
      <w:r>
        <w:t>Lead, Cadmium, and Hexavalent Chromium</w:t>
      </w:r>
      <w:r w:rsidR="000A25A9">
        <w:t>:</w:t>
      </w:r>
    </w:p>
    <w:p w14:paraId="46128702" w14:textId="77777777" w:rsidR="00B713BB" w:rsidRDefault="00B713BB" w:rsidP="00B713BB">
      <w:pPr>
        <w:pStyle w:val="PR2"/>
      </w:pPr>
      <w:r>
        <w:t>The Contractor shall assume that all painted surfaces contain lead</w:t>
      </w:r>
      <w:r w:rsidR="005E5687">
        <w:t>, unless proven otherwise,</w:t>
      </w:r>
      <w:r w:rsidR="00CB7822">
        <w:t xml:space="preserve"> and </w:t>
      </w:r>
      <w:r w:rsidR="000A4316">
        <w:t xml:space="preserve">shall </w:t>
      </w:r>
      <w:r w:rsidR="00CB7822">
        <w:t xml:space="preserve">perform work </w:t>
      </w:r>
      <w:r w:rsidR="005E5687">
        <w:t>in accordance with</w:t>
      </w:r>
      <w:r w:rsidR="00CB7822">
        <w:t xml:space="preserve"> </w:t>
      </w:r>
      <w:r w:rsidR="001C0679">
        <w:t>OR-</w:t>
      </w:r>
      <w:r w:rsidR="00CB7822">
        <w:t>OSHA and ORS requirements for worker protection</w:t>
      </w:r>
      <w:r>
        <w:t>.</w:t>
      </w:r>
      <w:r w:rsidR="00741603" w:rsidRPr="00741603">
        <w:t xml:space="preserve"> </w:t>
      </w:r>
      <w:r w:rsidR="00741603">
        <w:t xml:space="preserve"> </w:t>
      </w:r>
      <w:r w:rsidR="008E0D58">
        <w:t>Items with painted surfaces</w:t>
      </w:r>
      <w:r w:rsidR="00741603">
        <w:t xml:space="preserve"> </w:t>
      </w:r>
      <w:r w:rsidR="00B07EFF">
        <w:t xml:space="preserve">that are removed </w:t>
      </w:r>
      <w:r w:rsidR="00741603">
        <w:t xml:space="preserve">shall be recycled or disposed of </w:t>
      </w:r>
      <w:r w:rsidR="005E5687">
        <w:t>in accordance with</w:t>
      </w:r>
      <w:r w:rsidR="00741603">
        <w:t xml:space="preserve"> DEQ requirements.  Collect loose paint chips and place into a drum or other appropriate storage container.  The Port will test and dispose of the paint chips.</w:t>
      </w:r>
    </w:p>
    <w:p w14:paraId="4FD240A0" w14:textId="77777777" w:rsidR="00B713BB" w:rsidRDefault="00B713BB" w:rsidP="00B713BB">
      <w:pPr>
        <w:pStyle w:val="PR2"/>
      </w:pPr>
      <w:r w:rsidRPr="001F33C7">
        <w:t xml:space="preserve">There may be </w:t>
      </w:r>
      <w:r w:rsidR="00CC150C">
        <w:t xml:space="preserve">other </w:t>
      </w:r>
      <w:r w:rsidRPr="001F33C7">
        <w:t>toxic heavy metals p</w:t>
      </w:r>
      <w:r>
        <w:t xml:space="preserve">resent in painted surfaces. </w:t>
      </w:r>
      <w:r w:rsidRPr="001F33C7">
        <w:t xml:space="preserve"> If</w:t>
      </w:r>
      <w:r w:rsidR="008C5CF6">
        <w:t xml:space="preserve"> </w:t>
      </w:r>
      <w:r w:rsidRPr="001F33C7">
        <w:t>cadmium</w:t>
      </w:r>
      <w:r w:rsidR="00CC150C">
        <w:t xml:space="preserve"> </w:t>
      </w:r>
      <w:r w:rsidRPr="001F33C7">
        <w:t>or hexavalent</w:t>
      </w:r>
      <w:r w:rsidR="008C5CF6">
        <w:t xml:space="preserve"> chromium</w:t>
      </w:r>
      <w:r w:rsidRPr="001F33C7">
        <w:t xml:space="preserve"> </w:t>
      </w:r>
      <w:r>
        <w:t>is</w:t>
      </w:r>
      <w:r w:rsidRPr="001F33C7">
        <w:t xml:space="preserve"> found to be present</w:t>
      </w:r>
      <w:r>
        <w:t>,</w:t>
      </w:r>
      <w:r w:rsidRPr="001F33C7">
        <w:t xml:space="preserve"> they shall be managed to ensure compliance with OAR-437-03-1000</w:t>
      </w:r>
      <w:r w:rsidR="00A04EE0">
        <w:t xml:space="preserve"> (</w:t>
      </w:r>
      <w:r w:rsidR="00CC150C">
        <w:t>.1127</w:t>
      </w:r>
      <w:r w:rsidR="00A04EE0">
        <w:t xml:space="preserve"> for cadmium and </w:t>
      </w:r>
      <w:r w:rsidR="00CB4948">
        <w:t>.</w:t>
      </w:r>
      <w:r w:rsidR="00A04EE0">
        <w:t>112</w:t>
      </w:r>
      <w:r w:rsidR="00CC150C">
        <w:t>6</w:t>
      </w:r>
      <w:r w:rsidR="00A04EE0">
        <w:t xml:space="preserve"> for hexavalent chromium).</w:t>
      </w:r>
    </w:p>
    <w:p w14:paraId="50061F5A" w14:textId="5F65B13B" w:rsidR="00852B49" w:rsidRDefault="00873643" w:rsidP="00D57D6E">
      <w:pPr>
        <w:pStyle w:val="PRN"/>
      </w:pPr>
      <w:r>
        <w:t>Delete</w:t>
      </w:r>
      <w:r w:rsidR="00852B49">
        <w:t xml:space="preserve"> 3, 4, and 5 </w:t>
      </w:r>
      <w:r>
        <w:t>for most projects</w:t>
      </w:r>
      <w:r w:rsidR="00852B49">
        <w:t xml:space="preserve">. </w:t>
      </w:r>
      <w:r>
        <w:t>Discuss</w:t>
      </w:r>
      <w:r w:rsidR="00852B49">
        <w:t xml:space="preserve"> with Port Environmental</w:t>
      </w:r>
      <w:r>
        <w:t xml:space="preserve"> </w:t>
      </w:r>
      <w:r w:rsidR="00032874" w:rsidRPr="00032874">
        <w:t xml:space="preserve">Operations </w:t>
      </w:r>
      <w:r>
        <w:t>i</w:t>
      </w:r>
      <w:r w:rsidR="00127379">
        <w:t>f</w:t>
      </w:r>
      <w:r>
        <w:t xml:space="preserve"> needed to determine applicability</w:t>
      </w:r>
      <w:r w:rsidR="00852B49">
        <w:t xml:space="preserve">.  </w:t>
      </w:r>
    </w:p>
    <w:p w14:paraId="15EDA8BF" w14:textId="61F80603" w:rsidR="000A25A9" w:rsidRDefault="000A25A9" w:rsidP="00B713BB">
      <w:pPr>
        <w:pStyle w:val="PR2"/>
      </w:pPr>
      <w:r>
        <w:t xml:space="preserve">A lead-based paint analysis is included in the project manual as Exhibit [X].  The Contractor shall not rely on this information to assess </w:t>
      </w:r>
      <w:r w:rsidR="00335409">
        <w:t xml:space="preserve">its </w:t>
      </w:r>
      <w:r w:rsidR="00B9580A">
        <w:t>OR-</w:t>
      </w:r>
      <w:r>
        <w:t>OSHA responsibilities.</w:t>
      </w:r>
    </w:p>
    <w:p w14:paraId="596F7430" w14:textId="77777777" w:rsidR="000A25A9" w:rsidRDefault="000A25A9" w:rsidP="000A25A9">
      <w:pPr>
        <w:pStyle w:val="PR2"/>
      </w:pPr>
      <w:r>
        <w:t xml:space="preserve">The Contractor shall be responsible for the management of lead-based paint in accordance with Section </w:t>
      </w:r>
      <w:r w:rsidR="003817FB">
        <w:t>028313</w:t>
      </w:r>
      <w:r w:rsidR="001C0679">
        <w:t>, Lead-Based Paint Management</w:t>
      </w:r>
      <w:r>
        <w:t>.</w:t>
      </w:r>
    </w:p>
    <w:p w14:paraId="23C9363F" w14:textId="77777777" w:rsidR="000A25A9" w:rsidRDefault="000A25A9" w:rsidP="000A25A9">
      <w:pPr>
        <w:pStyle w:val="PR2"/>
      </w:pPr>
      <w:r>
        <w:t xml:space="preserve">The Contractor shall be responsible for the abatement of lead-based paint in accordance with Section </w:t>
      </w:r>
      <w:r w:rsidR="003817FB">
        <w:t>028319</w:t>
      </w:r>
      <w:r w:rsidR="001C0679">
        <w:t>, Lead-Based Paint Abatement</w:t>
      </w:r>
      <w:r>
        <w:t>.</w:t>
      </w:r>
    </w:p>
    <w:p w14:paraId="7932DC6F" w14:textId="77777777" w:rsidR="00233BF9" w:rsidRDefault="00B353F7" w:rsidP="00D57D6E">
      <w:pPr>
        <w:pStyle w:val="PRN"/>
      </w:pPr>
      <w:r>
        <w:t>If the PCBs</w:t>
      </w:r>
      <w:r w:rsidR="00233BF9">
        <w:t xml:space="preserve"> item is cited above, include this paragraph.  </w:t>
      </w:r>
    </w:p>
    <w:p w14:paraId="2F3F8E74" w14:textId="77777777" w:rsidR="00086C14" w:rsidRDefault="00086C14" w:rsidP="00C536B8">
      <w:pPr>
        <w:pStyle w:val="PR1"/>
        <w:keepNext/>
      </w:pPr>
      <w:r>
        <w:t>Polychlorinated biphenyls (PCBs):</w:t>
      </w:r>
    </w:p>
    <w:p w14:paraId="02E3D822" w14:textId="77777777" w:rsidR="00BB3224" w:rsidRDefault="002F17F0" w:rsidP="00BB3224">
      <w:pPr>
        <w:pStyle w:val="PR2"/>
      </w:pPr>
      <w:r>
        <w:t>For non-electronic ballasts, r</w:t>
      </w:r>
      <w:r w:rsidR="00086C14">
        <w:t xml:space="preserve">emove ballasts that are not labeled “no </w:t>
      </w:r>
      <w:r>
        <w:t>PCB’s</w:t>
      </w:r>
      <w:r w:rsidR="00086C14">
        <w:t>” from demolished light fixtures and from light fixtures shown on the drawings to be reused but are damaged and unable to be reused.  Place these ballasts in a watertight container for collection by the Port</w:t>
      </w:r>
      <w:r w:rsidR="00BB3224">
        <w:t>.</w:t>
      </w:r>
    </w:p>
    <w:p w14:paraId="6F8674A7" w14:textId="6C398667" w:rsidR="00032874" w:rsidRPr="00032874" w:rsidRDefault="00032874" w:rsidP="00032874">
      <w:pPr>
        <w:pStyle w:val="PR1"/>
        <w:keepNext/>
      </w:pPr>
      <w:r w:rsidRPr="00032874">
        <w:t xml:space="preserve">Mercury-Containing Equipment </w:t>
      </w:r>
      <w:r>
        <w:t>and</w:t>
      </w:r>
      <w:r w:rsidRPr="00032874">
        <w:t xml:space="preserve"> Fixtures: </w:t>
      </w:r>
    </w:p>
    <w:p w14:paraId="14362AA6" w14:textId="77777777" w:rsidR="00032874" w:rsidRPr="00032874" w:rsidRDefault="00032874" w:rsidP="00032874">
      <w:pPr>
        <w:pStyle w:val="PR2"/>
      </w:pPr>
      <w:r w:rsidRPr="00032874">
        <w:t>Mercury-containing equipment, fixtures</w:t>
      </w:r>
      <w:r>
        <w:t>,</w:t>
      </w:r>
      <w:r w:rsidRPr="00032874">
        <w:t xml:space="preserve"> and light tubes shall be disposed of as universal waste and submitted to a proper facility for recycling/recovery.</w:t>
      </w:r>
    </w:p>
    <w:p w14:paraId="666D75B8" w14:textId="77777777" w:rsidR="003D17CD" w:rsidRPr="001A3692" w:rsidRDefault="003D17CD" w:rsidP="00D57D6E">
      <w:pPr>
        <w:pStyle w:val="PRN"/>
      </w:pPr>
      <w:r w:rsidRPr="001A3692">
        <w:t>Always retain</w:t>
      </w:r>
      <w:r w:rsidR="00C92732">
        <w:t xml:space="preserve"> article</w:t>
      </w:r>
      <w:r w:rsidRPr="001A3692">
        <w:t>.</w:t>
      </w:r>
      <w:r w:rsidR="007F0EFE">
        <w:t xml:space="preserve">  Delete </w:t>
      </w:r>
      <w:r w:rsidR="00223E93">
        <w:t xml:space="preserve">B and </w:t>
      </w:r>
      <w:r w:rsidR="00513F36">
        <w:t>C</w:t>
      </w:r>
      <w:r w:rsidR="00C92732">
        <w:t xml:space="preserve"> if no site work.</w:t>
      </w:r>
    </w:p>
    <w:p w14:paraId="1049FFD2" w14:textId="77777777" w:rsidR="003D17CD" w:rsidRPr="00D579BB" w:rsidRDefault="003D17CD" w:rsidP="00062E21">
      <w:pPr>
        <w:pStyle w:val="ART"/>
        <w:keepNext/>
        <w:jc w:val="left"/>
      </w:pPr>
      <w:r w:rsidRPr="00D579BB">
        <w:t>UNEXPECTED SITE CONDITIONS</w:t>
      </w:r>
    </w:p>
    <w:p w14:paraId="01E7C4F4" w14:textId="77777777" w:rsidR="007F0EFE" w:rsidRDefault="006856F7" w:rsidP="00C536B8">
      <w:pPr>
        <w:pStyle w:val="PR1"/>
        <w:keepNext/>
      </w:pPr>
      <w:r>
        <w:t xml:space="preserve">Suspected </w:t>
      </w:r>
      <w:r w:rsidR="007F0EFE">
        <w:t>Hazardous or Environmentally Sensitive Conditions:</w:t>
      </w:r>
    </w:p>
    <w:p w14:paraId="337B77D1" w14:textId="77777777" w:rsidR="003D17CD" w:rsidRPr="00061C7E" w:rsidRDefault="003D17CD" w:rsidP="007F0EFE">
      <w:pPr>
        <w:pStyle w:val="PR2"/>
      </w:pPr>
      <w:r w:rsidRPr="00061C7E">
        <w:t>If the Contractor encounters suspected hazardous or environmentally sensitive conditions in the work area beyond those mentioned in these specifications or the drawings, the Contractor shall immediately stop all work in the area of the suspected condition and notify the Port.</w:t>
      </w:r>
    </w:p>
    <w:p w14:paraId="22B06918" w14:textId="77777777" w:rsidR="003D17CD" w:rsidRPr="00061C7E" w:rsidRDefault="003D17CD" w:rsidP="007F0EFE">
      <w:pPr>
        <w:pStyle w:val="PR2"/>
      </w:pPr>
      <w:r w:rsidRPr="00061C7E">
        <w:t>The Port will make arrangements for testing and appropriate abatement, if required.</w:t>
      </w:r>
    </w:p>
    <w:p w14:paraId="64BC71DE" w14:textId="1F344202" w:rsidR="003D17CD" w:rsidRDefault="003D17CD" w:rsidP="007F0EFE">
      <w:pPr>
        <w:pStyle w:val="PR2"/>
      </w:pPr>
      <w:r w:rsidRPr="00061C7E">
        <w:t xml:space="preserve">The Contractor shall alert </w:t>
      </w:r>
      <w:r w:rsidR="00335409">
        <w:t>its</w:t>
      </w:r>
      <w:r w:rsidR="00335409" w:rsidRPr="00061C7E">
        <w:t xml:space="preserve"> </w:t>
      </w:r>
      <w:r w:rsidRPr="00061C7E">
        <w:t>employees to these facts and shall assure that no operations occur that disturb the suspected hazardous or environmentally sensitive condition.</w:t>
      </w:r>
    </w:p>
    <w:p w14:paraId="2C693BAC" w14:textId="77777777" w:rsidR="00513F36" w:rsidRDefault="00513F36" w:rsidP="00C536B8">
      <w:pPr>
        <w:pStyle w:val="PR1"/>
        <w:keepNext/>
      </w:pPr>
      <w:r>
        <w:t>Suspected Contaminated Soil:</w:t>
      </w:r>
    </w:p>
    <w:p w14:paraId="5C231025" w14:textId="77777777" w:rsidR="00513F36" w:rsidRDefault="00513F36" w:rsidP="00513F36">
      <w:pPr>
        <w:pStyle w:val="PR2"/>
      </w:pPr>
      <w:r>
        <w:t xml:space="preserve">If the Contractor encounters suspected contaminated soil </w:t>
      </w:r>
      <w:r w:rsidRPr="00061C7E">
        <w:t xml:space="preserve">in the work area beyond </w:t>
      </w:r>
      <w:r w:rsidR="00603A82">
        <w:t>that</w:t>
      </w:r>
      <w:r w:rsidR="00603A82" w:rsidRPr="00061C7E">
        <w:t xml:space="preserve"> </w:t>
      </w:r>
      <w:r w:rsidRPr="00061C7E">
        <w:t xml:space="preserve">mentioned in </w:t>
      </w:r>
      <w:r w:rsidR="004467EA">
        <w:t xml:space="preserve">the </w:t>
      </w:r>
      <w:r w:rsidR="00603A82">
        <w:t>contract documents</w:t>
      </w:r>
      <w:r>
        <w:t xml:space="preserve">, </w:t>
      </w:r>
      <w:r w:rsidRPr="00061C7E">
        <w:t xml:space="preserve">the Contractor shall immediately stop all work in the area of the suspected </w:t>
      </w:r>
      <w:r>
        <w:t>contamination</w:t>
      </w:r>
      <w:r w:rsidRPr="00061C7E">
        <w:t xml:space="preserve"> and notify the Port</w:t>
      </w:r>
      <w:r>
        <w:t>.</w:t>
      </w:r>
    </w:p>
    <w:p w14:paraId="482F5367" w14:textId="77777777" w:rsidR="00513F36" w:rsidRDefault="00513F36" w:rsidP="00513F36">
      <w:pPr>
        <w:pStyle w:val="PR2"/>
      </w:pPr>
      <w:r>
        <w:lastRenderedPageBreak/>
        <w:t xml:space="preserve">Contaminated soil </w:t>
      </w:r>
      <w:r w:rsidR="002017F0">
        <w:t>is soil</w:t>
      </w:r>
      <w:r>
        <w:t xml:space="preserve"> that produces fuel or chemical odors, </w:t>
      </w:r>
      <w:r w:rsidR="002017F0">
        <w:t xml:space="preserve">produces an </w:t>
      </w:r>
      <w:r>
        <w:t xml:space="preserve">oil sheen on the surface of water, </w:t>
      </w:r>
      <w:r w:rsidR="002017F0">
        <w:t xml:space="preserve">has </w:t>
      </w:r>
      <w:r>
        <w:t>staining</w:t>
      </w:r>
      <w:r w:rsidR="002017F0">
        <w:t>, contains debris</w:t>
      </w:r>
      <w:r>
        <w:t xml:space="preserve"> or other visible indicators, or soil designated by the Port as contaminated.  The Port will characterize contaminated soil</w:t>
      </w:r>
      <w:r w:rsidR="002017F0">
        <w:t>,</w:t>
      </w:r>
      <w:r>
        <w:t xml:space="preserve"> obtain the profile for disposal</w:t>
      </w:r>
      <w:r w:rsidR="002017F0">
        <w:t>, and determine the location of disposal</w:t>
      </w:r>
      <w:r>
        <w:t xml:space="preserve">.  </w:t>
      </w:r>
    </w:p>
    <w:p w14:paraId="5A9F68D6" w14:textId="77777777" w:rsidR="007F0EFE" w:rsidRDefault="007F0EFE" w:rsidP="00C536B8">
      <w:pPr>
        <w:pStyle w:val="PR1"/>
        <w:keepNext/>
      </w:pPr>
      <w:r>
        <w:t xml:space="preserve">Historical or Archaeological Conditions:  </w:t>
      </w:r>
    </w:p>
    <w:p w14:paraId="3085D274" w14:textId="32D50AEA" w:rsidR="00285C61" w:rsidRDefault="00285C61" w:rsidP="007F0EFE">
      <w:pPr>
        <w:pStyle w:val="PR2"/>
      </w:pPr>
      <w:r>
        <w:t xml:space="preserve">If the Contractor encounters materials suspected to be of </w:t>
      </w:r>
      <w:r w:rsidR="00760C56">
        <w:t xml:space="preserve">historical or </w:t>
      </w:r>
      <w:r>
        <w:t>archaeological significance</w:t>
      </w:r>
      <w:r w:rsidR="00760C56">
        <w:t>,</w:t>
      </w:r>
      <w:r>
        <w:t xml:space="preserve"> or </w:t>
      </w:r>
      <w:r w:rsidR="00760C56">
        <w:t xml:space="preserve">materials </w:t>
      </w:r>
      <w:r>
        <w:t xml:space="preserve">that are otherwise incongruous with their surroundings, </w:t>
      </w:r>
      <w:r w:rsidR="00335409">
        <w:t xml:space="preserve">the Contractor </w:t>
      </w:r>
      <w:r>
        <w:t>shall immediately stop work in that location and notify the Port.  Do not proceed with the work until further direction has been given by the Port.</w:t>
      </w:r>
    </w:p>
    <w:p w14:paraId="18E77785" w14:textId="77777777" w:rsidR="00C254B1" w:rsidRDefault="00C254B1" w:rsidP="006262A3">
      <w:pPr>
        <w:pStyle w:val="ART"/>
        <w:keepNext/>
      </w:pPr>
      <w:r>
        <w:t>REGULATED BUILDING MATERIAL EMERGENCY PROCEDURES</w:t>
      </w:r>
    </w:p>
    <w:p w14:paraId="02E0F8D2" w14:textId="77777777" w:rsidR="00C254B1" w:rsidRDefault="00C254B1" w:rsidP="00C254B1">
      <w:pPr>
        <w:pStyle w:val="PR1"/>
      </w:pPr>
      <w:r>
        <w:t>In the event of an asbestos or other regulated building material emergency such as an uncontrolled release or suspected release of asbestos fibers, lead dust, or mercury vapor that could impact human health or the environment, do the following:</w:t>
      </w:r>
    </w:p>
    <w:p w14:paraId="0BB6390E" w14:textId="77777777" w:rsidR="00C254B1" w:rsidRPr="001A3692" w:rsidRDefault="00C254B1" w:rsidP="00D57D6E">
      <w:pPr>
        <w:pStyle w:val="PRN"/>
      </w:pPr>
      <w:r>
        <w:t xml:space="preserve">If the project is not at an aviation facility or industrial property, replace the contact in </w:t>
      </w:r>
      <w:r w:rsidR="0021182B">
        <w:t>item</w:t>
      </w:r>
      <w:r>
        <w:t xml:space="preserve"> 1</w:t>
      </w:r>
      <w:r w:rsidR="0021182B">
        <w:t xml:space="preserve"> below</w:t>
      </w:r>
      <w:r>
        <w:t xml:space="preserve"> to “Marine Security Dispatcher (503) 240-2230” for marine facilities or “Environmental On-Duty Line (503) 415-6622” for </w:t>
      </w:r>
      <w:r w:rsidR="0021182B">
        <w:t>N</w:t>
      </w:r>
      <w:r>
        <w:t>avigation, as appropriate.</w:t>
      </w:r>
    </w:p>
    <w:p w14:paraId="68B77A5E" w14:textId="77777777" w:rsidR="00C254B1" w:rsidRDefault="00C254B1" w:rsidP="00C254B1">
      <w:pPr>
        <w:pStyle w:val="PR2"/>
      </w:pPr>
      <w:r>
        <w:t>Notify the PDX Communications Center (503) 460-4000.</w:t>
      </w:r>
    </w:p>
    <w:p w14:paraId="61DE6664" w14:textId="77777777" w:rsidR="00C254B1" w:rsidRDefault="00C254B1" w:rsidP="00C254B1">
      <w:pPr>
        <w:pStyle w:val="PR2"/>
      </w:pPr>
      <w:r>
        <w:t>Evacuate workers from the area and restrict access to the area with barricades, caution tape, etc.  If possible, seal the area and post signage warning of potential hazard.  Do not allow workers or the public to come in contact with the material.</w:t>
      </w:r>
    </w:p>
    <w:p w14:paraId="2C0AFDB8" w14:textId="77777777" w:rsidR="00C254B1" w:rsidRDefault="00C254B1" w:rsidP="00C254B1">
      <w:pPr>
        <w:pStyle w:val="PR2"/>
      </w:pPr>
      <w:r>
        <w:t>If air handling units serving the area are under the control of the Contractor, turn off the flow of air.</w:t>
      </w:r>
    </w:p>
    <w:p w14:paraId="3CB44B31" w14:textId="77777777" w:rsidR="00C254B1" w:rsidRPr="00C254B1" w:rsidRDefault="00C254B1" w:rsidP="00C254B1">
      <w:pPr>
        <w:pStyle w:val="PR2"/>
      </w:pPr>
      <w:r>
        <w:t>Do not attempt to clear up the released material.  This will be performed by the Port.</w:t>
      </w:r>
    </w:p>
    <w:p w14:paraId="6BB57E59" w14:textId="77777777" w:rsidR="003D17CD" w:rsidRPr="001A3692" w:rsidRDefault="003D17CD" w:rsidP="00D57D6E">
      <w:pPr>
        <w:pStyle w:val="PRN"/>
      </w:pPr>
      <w:r w:rsidRPr="001A3692">
        <w:t xml:space="preserve">Use </w:t>
      </w:r>
      <w:r w:rsidR="00EB162E">
        <w:t xml:space="preserve">only </w:t>
      </w:r>
      <w:r w:rsidRPr="001A3692">
        <w:t>when all, or a portion, of t</w:t>
      </w:r>
      <w:r w:rsidR="00746221">
        <w:t>he work is in City right-of-way or requires a City public works permit.</w:t>
      </w:r>
      <w:r w:rsidR="00A77BE9">
        <w:t xml:space="preserve">  When work is in the City of Portland right-of-way (or another jurisdiction), see the supplementary conditions for information on adding an additional insured clause and form.</w:t>
      </w:r>
      <w:r w:rsidR="00EB162E">
        <w:t xml:space="preserve"> Otherwise, delete this article.</w:t>
      </w:r>
    </w:p>
    <w:p w14:paraId="2CBD1D96" w14:textId="77777777" w:rsidR="003D17CD" w:rsidRPr="00D579BB" w:rsidRDefault="003D17CD" w:rsidP="00062E21">
      <w:pPr>
        <w:pStyle w:val="ART"/>
        <w:keepNext/>
      </w:pPr>
      <w:r w:rsidRPr="00D579BB">
        <w:t>CITY OF PORTLAND SPECIFICATIONS</w:t>
      </w:r>
    </w:p>
    <w:p w14:paraId="6E24C3B4" w14:textId="77777777" w:rsidR="0039012B" w:rsidRPr="00061C7E" w:rsidRDefault="0039012B" w:rsidP="00062E21">
      <w:pPr>
        <w:pStyle w:val="PR1"/>
      </w:pPr>
      <w:r w:rsidRPr="00061C7E">
        <w:t xml:space="preserve">A portion </w:t>
      </w:r>
      <w:r>
        <w:t xml:space="preserve">or all </w:t>
      </w:r>
      <w:r w:rsidRPr="00061C7E">
        <w:t>of the work will be constructed in a City of Portland right</w:t>
      </w:r>
      <w:r w:rsidRPr="00061C7E">
        <w:noBreakHyphen/>
        <w:t>of</w:t>
      </w:r>
      <w:r w:rsidRPr="00061C7E">
        <w:noBreakHyphen/>
        <w:t xml:space="preserve">way </w:t>
      </w:r>
      <w:r>
        <w:t xml:space="preserve">or easement </w:t>
      </w:r>
      <w:r w:rsidRPr="00061C7E">
        <w:t xml:space="preserve">under City </w:t>
      </w:r>
      <w:r>
        <w:t xml:space="preserve">public works </w:t>
      </w:r>
      <w:r w:rsidRPr="00061C7E">
        <w:t xml:space="preserve">permits.  The City </w:t>
      </w:r>
      <w:r>
        <w:t xml:space="preserve">public works </w:t>
      </w:r>
      <w:r w:rsidRPr="00061C7E">
        <w:t>permits require improvements be constructed in accordance with the City of Portland Standard Construction Specifications, as amended, and as amended in the permits.</w:t>
      </w:r>
    </w:p>
    <w:p w14:paraId="1374C3C9" w14:textId="77777777" w:rsidR="0039012B" w:rsidRDefault="0039012B" w:rsidP="00062E21">
      <w:pPr>
        <w:pStyle w:val="PR1"/>
      </w:pPr>
      <w:r w:rsidRPr="00061C7E">
        <w:t xml:space="preserve">The Port specifications incorporate </w:t>
      </w:r>
      <w:r>
        <w:t xml:space="preserve">by reference those </w:t>
      </w:r>
      <w:r w:rsidRPr="00061C7E">
        <w:t xml:space="preserve">portions of the City of Portland Standard Construction Specifications pertinent to this </w:t>
      </w:r>
      <w:r w:rsidR="00CB7822">
        <w:t>work</w:t>
      </w:r>
      <w:r>
        <w:t>, including pertinent standard specifications of other entities referenced by the City of Portland specifications</w:t>
      </w:r>
      <w:r w:rsidRPr="00061C7E">
        <w:t>.</w:t>
      </w:r>
    </w:p>
    <w:p w14:paraId="01879F02" w14:textId="77777777" w:rsidR="0039012B" w:rsidRPr="00061C7E" w:rsidRDefault="0039012B" w:rsidP="00062E21">
      <w:pPr>
        <w:pStyle w:val="PR1"/>
      </w:pPr>
      <w:r>
        <w:t>Work subject to City public works permits and specifications shall be warranted for two years from the date of final acceptance.</w:t>
      </w:r>
    </w:p>
    <w:p w14:paraId="4AEBD0EA" w14:textId="77777777" w:rsidR="0039012B" w:rsidRPr="00061C7E" w:rsidRDefault="0039012B" w:rsidP="00062E21">
      <w:pPr>
        <w:pStyle w:val="PR1"/>
      </w:pPr>
      <w:r w:rsidRPr="00061C7E">
        <w:t>In the case of a discrepancy between City and Port specifications</w:t>
      </w:r>
      <w:r>
        <w:t>, notify the Port immediately.</w:t>
      </w:r>
    </w:p>
    <w:p w14:paraId="53BA7BE5" w14:textId="77777777" w:rsidR="003D17CD" w:rsidRDefault="003D17CD" w:rsidP="00D57D6E">
      <w:pPr>
        <w:pStyle w:val="PRN"/>
      </w:pPr>
      <w:r w:rsidRPr="001A3692">
        <w:lastRenderedPageBreak/>
        <w:t>Use when work at PDX involves the Columbia Slough.</w:t>
      </w:r>
    </w:p>
    <w:p w14:paraId="342FF229" w14:textId="77777777" w:rsidR="00934D9B" w:rsidRPr="00E84F31" w:rsidRDefault="00934D9B" w:rsidP="00E84F31">
      <w:pPr>
        <w:keepNext/>
        <w:rPr>
          <w:sz w:val="2"/>
          <w:szCs w:val="2"/>
        </w:rPr>
      </w:pPr>
    </w:p>
    <w:p w14:paraId="2E69CCF0" w14:textId="77777777" w:rsidR="00934D9B" w:rsidRPr="001A3692" w:rsidRDefault="00934D9B" w:rsidP="00D57D6E">
      <w:pPr>
        <w:pStyle w:val="PRN"/>
      </w:pPr>
      <w:r>
        <w:t>Tenants:  Delete this article entirely.</w:t>
      </w:r>
    </w:p>
    <w:p w14:paraId="2BE7D5F3" w14:textId="77777777" w:rsidR="003D17CD" w:rsidRPr="00D579BB" w:rsidRDefault="003D17CD" w:rsidP="00062E21">
      <w:pPr>
        <w:pStyle w:val="ART"/>
        <w:keepNext/>
      </w:pPr>
      <w:r w:rsidRPr="00D579BB">
        <w:t>MULTNOMAH COUNTY DRAINAGE DISTRICT OPERATIONS</w:t>
      </w:r>
    </w:p>
    <w:p w14:paraId="78079F0B" w14:textId="77777777" w:rsidR="003D17CD" w:rsidRPr="00061C7E" w:rsidRDefault="003D17CD" w:rsidP="00062E21">
      <w:pPr>
        <w:pStyle w:val="PR1"/>
      </w:pPr>
      <w:r w:rsidRPr="00061C7E">
        <w:t>Notify the Port a minimum of two weeks in advance of constructing the outfall.</w:t>
      </w:r>
    </w:p>
    <w:p w14:paraId="576D6C0B" w14:textId="321071B9" w:rsidR="003D17CD" w:rsidRPr="00061C7E" w:rsidRDefault="003D17CD" w:rsidP="00C536B8">
      <w:pPr>
        <w:pStyle w:val="PR1"/>
        <w:keepNext/>
      </w:pPr>
      <w:r w:rsidRPr="00061C7E">
        <w:t xml:space="preserve">The Columbia Slough may be lowered to assist in construction of the outfall.  If the Contractor chooses to request lowering the slough, </w:t>
      </w:r>
      <w:r w:rsidR="00335409">
        <w:t>the Contractor</w:t>
      </w:r>
      <w:r w:rsidR="00335409" w:rsidRPr="00061C7E">
        <w:t xml:space="preserve"> </w:t>
      </w:r>
      <w:r w:rsidRPr="00061C7E">
        <w:t>should coordinate with the Multnomah County Drainage District a minimum of two weeks in advance of outfall construction.  Coordinate with:</w:t>
      </w:r>
    </w:p>
    <w:p w14:paraId="1BD6D65D" w14:textId="77777777" w:rsidR="005C67C0" w:rsidRPr="005C67C0" w:rsidRDefault="005C67C0" w:rsidP="00C536B8">
      <w:pPr>
        <w:keepNext/>
        <w:suppressAutoHyphens/>
      </w:pPr>
    </w:p>
    <w:p w14:paraId="1BEA64A3" w14:textId="77777777" w:rsidR="003D17CD" w:rsidRPr="005C67C0" w:rsidRDefault="003D17CD" w:rsidP="004E137B">
      <w:pPr>
        <w:keepNext/>
        <w:suppressAutoHyphens/>
        <w:ind w:left="1350"/>
      </w:pPr>
      <w:r w:rsidRPr="005C67C0">
        <w:t>Multnomah County Drainage District</w:t>
      </w:r>
      <w:r w:rsidRPr="005C67C0">
        <w:br/>
        <w:t>1880 N.E. Elrod Drive</w:t>
      </w:r>
      <w:r w:rsidRPr="005C67C0">
        <w:br/>
        <w:t>Portland, OR 97211</w:t>
      </w:r>
      <w:r w:rsidRPr="005C67C0">
        <w:br/>
        <w:t>(503) 281</w:t>
      </w:r>
      <w:r w:rsidRPr="005C67C0">
        <w:noBreakHyphen/>
        <w:t>5675</w:t>
      </w:r>
    </w:p>
    <w:p w14:paraId="0A237332" w14:textId="77777777" w:rsidR="003D17CD" w:rsidRPr="00061C7E" w:rsidRDefault="003D17CD" w:rsidP="00062E21">
      <w:pPr>
        <w:pStyle w:val="PR1"/>
      </w:pPr>
      <w:r w:rsidRPr="00061C7E">
        <w:t>Lowering the slough is subject to irrigation demands and weather conditions, and its availability for lowering will be determined by the District at the time of the Contractor notification.</w:t>
      </w:r>
    </w:p>
    <w:p w14:paraId="0D06FE90" w14:textId="77777777" w:rsidR="003D17CD" w:rsidRPr="00061C7E" w:rsidRDefault="003D17CD" w:rsidP="00062E21">
      <w:pPr>
        <w:pStyle w:val="PR1"/>
      </w:pPr>
      <w:r w:rsidRPr="00061C7E">
        <w:t xml:space="preserve">Under dry weather conditions, the slough can be reasonably lowered to approximately Elevation 6.5 (National Geodetic Vertical Datum).  The Contractor will be required to pay Multnomah County Drainage District for the </w:t>
      </w:r>
      <w:r w:rsidR="001932E2">
        <w:t xml:space="preserve">cost of </w:t>
      </w:r>
      <w:r w:rsidRPr="00061C7E">
        <w:t xml:space="preserve">electricity </w:t>
      </w:r>
      <w:r w:rsidR="001932E2">
        <w:t xml:space="preserve">and labor </w:t>
      </w:r>
      <w:r w:rsidRPr="00061C7E">
        <w:t>necessary to pump the slough.</w:t>
      </w:r>
    </w:p>
    <w:p w14:paraId="60609308" w14:textId="77777777" w:rsidR="003D17CD" w:rsidRPr="001A3692" w:rsidRDefault="003D17CD" w:rsidP="00D57D6E">
      <w:pPr>
        <w:pStyle w:val="PRN"/>
      </w:pPr>
      <w:r w:rsidRPr="001A3692">
        <w:t>Use for PDX only.</w:t>
      </w:r>
      <w:r w:rsidR="00CA0F92">
        <w:t xml:space="preserve"> </w:t>
      </w:r>
      <w:r w:rsidR="005B055D">
        <w:t>Replace “Airport Fire” with “Marine Facility Maintenance” for</w:t>
      </w:r>
      <w:r w:rsidR="00CA0F92">
        <w:t xml:space="preserve"> work at a marine terminal. Delete entirely if </w:t>
      </w:r>
      <w:r w:rsidR="005B055D">
        <w:t>not</w:t>
      </w:r>
      <w:r w:rsidR="00CA0F92">
        <w:t xml:space="preserve"> appropriate.</w:t>
      </w:r>
    </w:p>
    <w:p w14:paraId="73F58700" w14:textId="77777777" w:rsidR="003D17CD" w:rsidRPr="00D579BB" w:rsidRDefault="003D17CD" w:rsidP="00062E21">
      <w:pPr>
        <w:pStyle w:val="ART"/>
        <w:keepNext/>
      </w:pPr>
      <w:r w:rsidRPr="00D579BB">
        <w:t>WELDING, CUTTING, AND BURNING PERMIT</w:t>
      </w:r>
    </w:p>
    <w:p w14:paraId="2D48F6D3" w14:textId="77777777" w:rsidR="003D17CD" w:rsidRDefault="003D17CD" w:rsidP="00062E21">
      <w:pPr>
        <w:pStyle w:val="PR1"/>
      </w:pPr>
      <w:r w:rsidRPr="00061C7E">
        <w:t>Obtain a welding, cutting, and burning permit from the Airport Fire Department prior to the start of any flame welding, cutting, or burning work.  In addition, notify the Airport Fire Department prior to beginning each flame welding, cutting, or burning operation.</w:t>
      </w:r>
    </w:p>
    <w:p w14:paraId="6331BED0" w14:textId="77777777" w:rsidR="003D17CD" w:rsidRPr="001A3692" w:rsidRDefault="003D17CD" w:rsidP="00D57D6E">
      <w:pPr>
        <w:pStyle w:val="PRN"/>
      </w:pPr>
      <w:r w:rsidRPr="001A3692">
        <w:t>Edit if other than “City of Portland.”</w:t>
      </w:r>
    </w:p>
    <w:p w14:paraId="06721A51" w14:textId="77777777" w:rsidR="003D17CD" w:rsidRPr="00D579BB" w:rsidRDefault="00187B43" w:rsidP="00062E21">
      <w:pPr>
        <w:pStyle w:val="ART"/>
        <w:keepNext/>
      </w:pPr>
      <w:r>
        <w:t>INTERNATIONAL</w:t>
      </w:r>
      <w:r w:rsidR="003D17CD" w:rsidRPr="00D579BB">
        <w:t xml:space="preserve"> BUILDING CODE</w:t>
      </w:r>
    </w:p>
    <w:p w14:paraId="6268465A" w14:textId="77777777" w:rsidR="003D17CD" w:rsidRPr="00061C7E" w:rsidRDefault="003D17CD" w:rsidP="00062E21">
      <w:pPr>
        <w:pStyle w:val="PR1"/>
      </w:pPr>
      <w:r w:rsidRPr="00061C7E">
        <w:t xml:space="preserve">Work shall conform to the </w:t>
      </w:r>
      <w:r w:rsidR="00187B43">
        <w:t>International</w:t>
      </w:r>
      <w:r w:rsidRPr="00061C7E">
        <w:t xml:space="preserve"> Building Code</w:t>
      </w:r>
      <w:r w:rsidR="00FD3D95">
        <w:t xml:space="preserve"> (IBC)</w:t>
      </w:r>
      <w:r w:rsidRPr="00061C7E">
        <w:t xml:space="preserve">, as amended by the </w:t>
      </w:r>
      <w:r w:rsidR="00340684">
        <w:t xml:space="preserve">OSSC, </w:t>
      </w:r>
      <w:r w:rsidRPr="00061C7E">
        <w:t>State of Oregon and as enforced by the City of Portland Bureau of Development Services.</w:t>
      </w:r>
    </w:p>
    <w:p w14:paraId="555FDBFC" w14:textId="77777777" w:rsidR="003D17CD" w:rsidRPr="001A3692" w:rsidRDefault="003D17CD" w:rsidP="00D57D6E">
      <w:pPr>
        <w:pStyle w:val="PRN"/>
      </w:pPr>
      <w:r w:rsidRPr="001A3692">
        <w:lastRenderedPageBreak/>
        <w:t>Edit if other than “City of Portland.”</w:t>
      </w:r>
    </w:p>
    <w:p w14:paraId="598744F6" w14:textId="77777777" w:rsidR="003D17CD" w:rsidRPr="00D579BB" w:rsidRDefault="003D17CD" w:rsidP="00062E21">
      <w:pPr>
        <w:pStyle w:val="ART"/>
        <w:keepNext/>
      </w:pPr>
      <w:r w:rsidRPr="00D579BB">
        <w:t>PLUMBING CODE</w:t>
      </w:r>
    </w:p>
    <w:p w14:paraId="356D7938" w14:textId="77777777" w:rsidR="003D17CD" w:rsidRPr="00061C7E" w:rsidRDefault="003D17CD" w:rsidP="00062E21">
      <w:pPr>
        <w:pStyle w:val="PR1"/>
      </w:pPr>
      <w:r w:rsidRPr="00061C7E">
        <w:t xml:space="preserve">Water systems (except fire sprinkler systems), sanitary sewers, and storm drainage work shall comply with the Uniform Plumbing Code </w:t>
      </w:r>
      <w:r w:rsidR="00975C8B">
        <w:t xml:space="preserve">as amended by the Oregon Plumbing Specialty Code (OPSC) by the State of Oregon and </w:t>
      </w:r>
      <w:r w:rsidR="000627C0">
        <w:t xml:space="preserve">as </w:t>
      </w:r>
      <w:r w:rsidRPr="00061C7E">
        <w:t>enforced by the City of Portland Bureau of Development Services.</w:t>
      </w:r>
    </w:p>
    <w:p w14:paraId="43D029BE" w14:textId="77777777" w:rsidR="003D17CD" w:rsidRPr="001A3692" w:rsidRDefault="003D17CD" w:rsidP="00D57D6E">
      <w:pPr>
        <w:pStyle w:val="PRN"/>
      </w:pPr>
      <w:r w:rsidRPr="001A3692">
        <w:t>Edit if other than “City of Portland.”</w:t>
      </w:r>
    </w:p>
    <w:p w14:paraId="23DE340B" w14:textId="77777777" w:rsidR="003D17CD" w:rsidRPr="00D579BB" w:rsidRDefault="003D17CD" w:rsidP="00062E21">
      <w:pPr>
        <w:pStyle w:val="ART"/>
        <w:keepNext/>
      </w:pPr>
      <w:r w:rsidRPr="00D579BB">
        <w:t>MECHANICAL CODE</w:t>
      </w:r>
    </w:p>
    <w:p w14:paraId="1E7F518E" w14:textId="77777777" w:rsidR="003D17CD" w:rsidRPr="00061C7E" w:rsidRDefault="003D17CD" w:rsidP="00062E21">
      <w:pPr>
        <w:pStyle w:val="PR1"/>
      </w:pPr>
      <w:r w:rsidRPr="00061C7E">
        <w:t xml:space="preserve">Work shall comply with the International Mechanical Code </w:t>
      </w:r>
      <w:r w:rsidR="00975C8B">
        <w:t xml:space="preserve">and International Fuel Gas Code as amended by the Oregon Mechanical Specialty Code (OMSC) by the State of Oregon and </w:t>
      </w:r>
      <w:r w:rsidR="000627C0">
        <w:t xml:space="preserve">as </w:t>
      </w:r>
      <w:r w:rsidRPr="00061C7E">
        <w:t>enforced by the City of Portland Bureau of Development Services.</w:t>
      </w:r>
    </w:p>
    <w:p w14:paraId="156879F9" w14:textId="77777777" w:rsidR="003D17CD" w:rsidRPr="00D579BB" w:rsidRDefault="0026646A" w:rsidP="00062E21">
      <w:pPr>
        <w:pStyle w:val="ART"/>
        <w:keepNext/>
      </w:pPr>
      <w:r>
        <w:t>CODE FOR ELEVATORS, ESCALATORS, AND MOVING WALKS</w:t>
      </w:r>
    </w:p>
    <w:p w14:paraId="641C0093" w14:textId="77777777" w:rsidR="003D17CD" w:rsidRPr="00061C7E" w:rsidRDefault="00AB65E0" w:rsidP="00062E21">
      <w:pPr>
        <w:pStyle w:val="PR1"/>
      </w:pPr>
      <w:r>
        <w:t>W</w:t>
      </w:r>
      <w:r w:rsidR="003D17CD" w:rsidRPr="00061C7E">
        <w:t xml:space="preserve">ork shall comply with the American </w:t>
      </w:r>
      <w:r w:rsidR="00187B43">
        <w:t>Society of Mechanical Engineers (ASME)</w:t>
      </w:r>
      <w:r w:rsidR="00E95C06">
        <w:t xml:space="preserve"> </w:t>
      </w:r>
      <w:r w:rsidR="00340684">
        <w:t xml:space="preserve">Code </w:t>
      </w:r>
      <w:r w:rsidR="00E95C06">
        <w:t xml:space="preserve">and the Oregon Specialty Lift Code as amended by the Oregon Elevator Specialty Code by the State of Oregon and </w:t>
      </w:r>
      <w:r w:rsidR="000627C0">
        <w:t xml:space="preserve">as </w:t>
      </w:r>
      <w:r w:rsidR="00E95C06">
        <w:t xml:space="preserve">enforced by the </w:t>
      </w:r>
      <w:r w:rsidR="0026646A">
        <w:t>authorities having jurisdiction</w:t>
      </w:r>
      <w:r w:rsidR="007A5223">
        <w:t>.</w:t>
      </w:r>
    </w:p>
    <w:p w14:paraId="214EED4F" w14:textId="77777777" w:rsidR="003D17CD" w:rsidRPr="00061C7E" w:rsidRDefault="003D17CD" w:rsidP="00062E21">
      <w:pPr>
        <w:pStyle w:val="PR1"/>
      </w:pPr>
      <w:r w:rsidRPr="00061C7E">
        <w:t xml:space="preserve">The Contractor performing electrical, mechanical, and/or erection work shall be, and remain, in compliance with licensing requirements of the </w:t>
      </w:r>
      <w:r w:rsidR="0026646A">
        <w:t>authorities having jurisdiction</w:t>
      </w:r>
      <w:r w:rsidRPr="00061C7E">
        <w:t>.  Personnel performing work on this project shall be individually licensed, as required by the State of Oregon.</w:t>
      </w:r>
    </w:p>
    <w:p w14:paraId="6BF2A45F" w14:textId="77777777" w:rsidR="003D17CD" w:rsidRPr="00061C7E" w:rsidRDefault="003D17CD" w:rsidP="00062E21">
      <w:pPr>
        <w:pStyle w:val="PR1"/>
      </w:pPr>
      <w:r w:rsidRPr="00061C7E">
        <w:t xml:space="preserve">Submit complete shop drawings, plans, and material lists to the State of Oregon, 1535 Edgewater N.W., </w:t>
      </w:r>
      <w:r w:rsidR="005A4E0A">
        <w:t xml:space="preserve">P.O. Box 14470, </w:t>
      </w:r>
      <w:r w:rsidRPr="00061C7E">
        <w:t>Salem, Oregon 973</w:t>
      </w:r>
      <w:r w:rsidR="005A4E0A">
        <w:t>09-0404</w:t>
      </w:r>
      <w:r w:rsidRPr="00061C7E">
        <w:t>, for review and approval.</w:t>
      </w:r>
    </w:p>
    <w:p w14:paraId="5698C4F3" w14:textId="77777777" w:rsidR="003D17CD" w:rsidRPr="00061C7E" w:rsidRDefault="003413DE" w:rsidP="00062E21">
      <w:pPr>
        <w:pStyle w:val="PR1"/>
      </w:pPr>
      <w:r>
        <w:t>The Contractor shall c</w:t>
      </w:r>
      <w:r w:rsidR="0026646A" w:rsidRPr="0026646A">
        <w:t xml:space="preserve">oordinate </w:t>
      </w:r>
      <w:r>
        <w:t xml:space="preserve">and pay for </w:t>
      </w:r>
      <w:r w:rsidR="0026646A" w:rsidRPr="0026646A">
        <w:t>all required inspections, including those required for obtaining operating permits</w:t>
      </w:r>
      <w:r w:rsidR="003D17CD" w:rsidRPr="00061C7E">
        <w:t>.</w:t>
      </w:r>
    </w:p>
    <w:p w14:paraId="3DC8829B" w14:textId="77777777" w:rsidR="003D17CD" w:rsidRDefault="003D17CD" w:rsidP="00D57D6E">
      <w:pPr>
        <w:pStyle w:val="PRN"/>
      </w:pPr>
      <w:r w:rsidRPr="000F37AA">
        <w:t>Retain only appropriate paragraphs.</w:t>
      </w:r>
    </w:p>
    <w:p w14:paraId="50475677" w14:textId="77777777" w:rsidR="00517FC8" w:rsidRPr="00E84F31" w:rsidRDefault="00517FC8" w:rsidP="00B353F7">
      <w:pPr>
        <w:keepNext/>
        <w:rPr>
          <w:sz w:val="2"/>
          <w:szCs w:val="2"/>
        </w:rPr>
      </w:pPr>
    </w:p>
    <w:p w14:paraId="5BCCEB1F" w14:textId="77777777" w:rsidR="00517FC8" w:rsidRPr="000F37AA" w:rsidRDefault="00517FC8" w:rsidP="00D57D6E">
      <w:pPr>
        <w:pStyle w:val="PRN"/>
      </w:pPr>
      <w:r>
        <w:t>Tenant:  Retain “the Port” throughout this article.</w:t>
      </w:r>
    </w:p>
    <w:p w14:paraId="5F64E092" w14:textId="77777777" w:rsidR="003D17CD" w:rsidRPr="00D579BB" w:rsidRDefault="003D17CD" w:rsidP="00CF15E0">
      <w:pPr>
        <w:pStyle w:val="ART"/>
        <w:keepNext/>
      </w:pPr>
      <w:r w:rsidRPr="00D579BB">
        <w:t>ELECTRICAL CODE</w:t>
      </w:r>
    </w:p>
    <w:p w14:paraId="3C0838DA" w14:textId="77777777" w:rsidR="001D70EC" w:rsidRDefault="001D70EC" w:rsidP="00D57D6E">
      <w:pPr>
        <w:pStyle w:val="PRN"/>
      </w:pPr>
      <w:r>
        <w:t>Choose A or B but retain the numbered paragraphs in either case.  Choose B for PDX with airfield work.</w:t>
      </w:r>
    </w:p>
    <w:p w14:paraId="2279C7AF" w14:textId="77777777" w:rsidR="003D17CD" w:rsidRPr="00061C7E" w:rsidRDefault="003D17CD" w:rsidP="00062E21">
      <w:pPr>
        <w:pStyle w:val="PR1"/>
      </w:pPr>
      <w:r w:rsidRPr="00061C7E">
        <w:t>Work shall comply with the National Electrical Code</w:t>
      </w:r>
      <w:r w:rsidR="00425F7C">
        <w:t xml:space="preserve"> (NEC)</w:t>
      </w:r>
      <w:r w:rsidRPr="00061C7E">
        <w:t xml:space="preserve">, </w:t>
      </w:r>
      <w:r w:rsidR="00425F7C">
        <w:t xml:space="preserve">as amended by the </w:t>
      </w:r>
      <w:r w:rsidRPr="00061C7E">
        <w:t>Oregon Electrical Specialty Code (</w:t>
      </w:r>
      <w:r w:rsidR="00425F7C">
        <w:t>OESC</w:t>
      </w:r>
      <w:r w:rsidRPr="00061C7E">
        <w:t>)</w:t>
      </w:r>
      <w:r w:rsidR="00425F7C">
        <w:t xml:space="preserve"> by the State of Oregon and </w:t>
      </w:r>
      <w:r w:rsidR="000627C0">
        <w:t xml:space="preserve">as </w:t>
      </w:r>
      <w:r w:rsidRPr="00061C7E">
        <w:t>enforced by the City of Portland Bureau of Development Services.</w:t>
      </w:r>
    </w:p>
    <w:p w14:paraId="34EE38CD" w14:textId="77777777" w:rsidR="003D17CD" w:rsidRPr="00061C7E" w:rsidRDefault="003D17CD" w:rsidP="004E137B">
      <w:pPr>
        <w:pStyle w:val="PR1"/>
        <w:keepNext/>
      </w:pPr>
      <w:r w:rsidRPr="00061C7E">
        <w:lastRenderedPageBreak/>
        <w:t>Work shall comply with the National Electrical Code</w:t>
      </w:r>
      <w:r w:rsidR="00B86C6C">
        <w:t xml:space="preserve"> (NEC)</w:t>
      </w:r>
      <w:r w:rsidRPr="00061C7E">
        <w:t xml:space="preserve">, </w:t>
      </w:r>
      <w:r w:rsidR="00B86C6C">
        <w:t>as amended by the Oregon</w:t>
      </w:r>
      <w:r w:rsidRPr="00061C7E">
        <w:t xml:space="preserve"> Electrical Specialty Code (O</w:t>
      </w:r>
      <w:r w:rsidR="00B86C6C">
        <w:t>ESC</w:t>
      </w:r>
      <w:r w:rsidRPr="00061C7E">
        <w:t>)</w:t>
      </w:r>
      <w:r w:rsidR="00B86C6C">
        <w:t xml:space="preserve"> by the State of Oregon and as</w:t>
      </w:r>
      <w:r w:rsidRPr="00061C7E">
        <w:t xml:space="preserve"> enforced by the City of Portland Bureau of Development Services, </w:t>
      </w:r>
      <w:r w:rsidR="00B86C6C">
        <w:t>e</w:t>
      </w:r>
      <w:r w:rsidRPr="00061C7E">
        <w:t>xcept for work within the designated restricted areas which is enforced by the Port and the FAA.</w:t>
      </w:r>
    </w:p>
    <w:p w14:paraId="3205DB1A" w14:textId="77777777" w:rsidR="003D17CD" w:rsidRPr="000F37AA" w:rsidRDefault="003D17CD" w:rsidP="00D57D6E">
      <w:pPr>
        <w:pStyle w:val="PRN"/>
      </w:pPr>
      <w:r w:rsidRPr="000F37AA">
        <w:t>Choose one of 1, 2, or 3.</w:t>
      </w:r>
    </w:p>
    <w:p w14:paraId="25B34AFD" w14:textId="77777777" w:rsidR="003D17CD" w:rsidRPr="00314BF1" w:rsidRDefault="003D17CD" w:rsidP="00062E21">
      <w:pPr>
        <w:pStyle w:val="PR2"/>
      </w:pPr>
      <w:r w:rsidRPr="00314BF1">
        <w:t>Work within the contract limits is subject to inspection by the Port and the Federal Aviation Administration (FAA).</w:t>
      </w:r>
    </w:p>
    <w:p w14:paraId="6A509DE1" w14:textId="77777777" w:rsidR="003D17CD" w:rsidRPr="00314BF1" w:rsidRDefault="003D17CD" w:rsidP="00062E21">
      <w:pPr>
        <w:pStyle w:val="PR2"/>
      </w:pPr>
      <w:r w:rsidRPr="00314BF1">
        <w:t>Work within the contract limits is subject to inspection by the City of Portland.</w:t>
      </w:r>
    </w:p>
    <w:p w14:paraId="31C5B601" w14:textId="77777777" w:rsidR="003D17CD" w:rsidRPr="00314BF1" w:rsidRDefault="003D17CD" w:rsidP="00062E21">
      <w:pPr>
        <w:pStyle w:val="PR2"/>
      </w:pPr>
      <w:r w:rsidRPr="00314BF1">
        <w:t>Work specifically to be inspected by the City of Portland includes _________________.</w:t>
      </w:r>
    </w:p>
    <w:p w14:paraId="08E4021C" w14:textId="77777777" w:rsidR="003D17CD" w:rsidRPr="00314BF1" w:rsidRDefault="003D17CD" w:rsidP="00062E21">
      <w:pPr>
        <w:pStyle w:val="PR2"/>
      </w:pPr>
      <w:r w:rsidRPr="00314BF1">
        <w:t>Inspections by the City of Portland of any of this work located within the restricted areas of the airport shall be scheduled in advance with the Port.</w:t>
      </w:r>
    </w:p>
    <w:p w14:paraId="2E319310" w14:textId="77777777" w:rsidR="003D17CD" w:rsidRPr="00314BF1" w:rsidRDefault="003D17CD" w:rsidP="00062E21">
      <w:pPr>
        <w:pStyle w:val="PR2"/>
      </w:pPr>
      <w:r w:rsidRPr="00314BF1">
        <w:t>City of Portland inspectors will be escorted by Port personnel on inspections within the restricted areas.  The Contractor shall not be the sole escort or conduct such inspections with City of Portland personnel without Port escort.</w:t>
      </w:r>
    </w:p>
    <w:p w14:paraId="3EE38AB4" w14:textId="77777777" w:rsidR="003D17CD" w:rsidRPr="00314BF1" w:rsidRDefault="003D17CD" w:rsidP="00225A48">
      <w:pPr>
        <w:pStyle w:val="PR2"/>
      </w:pPr>
      <w:r w:rsidRPr="00314BF1">
        <w:t>Work within the designated restricted areas is not subject to Bureau of Development Services permit or inspection.</w:t>
      </w:r>
      <w:r w:rsidR="00233BF9">
        <w:t xml:space="preserve">  </w:t>
      </w:r>
    </w:p>
    <w:p w14:paraId="3A4CF694" w14:textId="77777777" w:rsidR="003D17CD" w:rsidRPr="000F37AA" w:rsidRDefault="00233BF9" w:rsidP="00D57D6E">
      <w:pPr>
        <w:pStyle w:val="PRN"/>
      </w:pPr>
      <w:r>
        <w:t>The first paragraph</w:t>
      </w:r>
      <w:r w:rsidR="003D17CD" w:rsidRPr="000F37AA">
        <w:t xml:space="preserve"> is for </w:t>
      </w:r>
      <w:r w:rsidR="00C2488C">
        <w:t>HIO</w:t>
      </w:r>
      <w:r w:rsidR="003D17CD" w:rsidRPr="000F37AA">
        <w:t xml:space="preserve">; </w:t>
      </w:r>
      <w:r>
        <w:t xml:space="preserve">the second </w:t>
      </w:r>
      <w:r w:rsidR="003D17CD" w:rsidRPr="000F37AA">
        <w:t xml:space="preserve">is for </w:t>
      </w:r>
      <w:r w:rsidR="00C2488C">
        <w:t>TTD</w:t>
      </w:r>
      <w:r w:rsidR="003D17CD" w:rsidRPr="000F37AA">
        <w:t>.</w:t>
      </w:r>
    </w:p>
    <w:p w14:paraId="359C67C7" w14:textId="77777777" w:rsidR="003D17CD" w:rsidRPr="00061C7E" w:rsidRDefault="003D17CD" w:rsidP="00062E21">
      <w:pPr>
        <w:pStyle w:val="PR1"/>
      </w:pPr>
      <w:r w:rsidRPr="00061C7E">
        <w:t>Work shall comply with the requirements of the National Electrical Code, Oregon Electrical Specialty Code (OAR 918-305), Oregon Administrative Rules, and Oregon Electrical Safety Law (ORS 479), as enforced by State of Oregon, except for work within the designated restricted areas which is enforced by the Port and the FAA.</w:t>
      </w:r>
    </w:p>
    <w:p w14:paraId="4C46193B" w14:textId="77777777" w:rsidR="003D17CD" w:rsidRPr="00061C7E" w:rsidRDefault="003D17CD" w:rsidP="00062E21">
      <w:pPr>
        <w:pStyle w:val="PR1"/>
      </w:pPr>
      <w:r w:rsidRPr="00061C7E">
        <w:t>Work shall comply with the requirements of the National Electrical Code, Oregon Electrical Specialty Code (OAR 918-305), Oregon Administrative Rules, and Oregon Electrical Safety Law (ORS 479), as enforced by the City of Troutdale, except for work within the designated restricted areas which is enforced by the Port and the FAA.</w:t>
      </w:r>
    </w:p>
    <w:p w14:paraId="3842C167" w14:textId="77777777" w:rsidR="003D17CD" w:rsidRPr="000F37AA" w:rsidRDefault="00B74ECF" w:rsidP="00D57D6E">
      <w:pPr>
        <w:pStyle w:val="PRN"/>
      </w:pPr>
      <w:r>
        <w:t xml:space="preserve">Choose one of the following two paragraphs.  </w:t>
      </w:r>
      <w:r w:rsidR="00233BF9">
        <w:t xml:space="preserve">The first </w:t>
      </w:r>
      <w:r w:rsidR="003D17CD" w:rsidRPr="000F37AA">
        <w:t xml:space="preserve">is for </w:t>
      </w:r>
      <w:r w:rsidR="00EB162E">
        <w:t xml:space="preserve">work in </w:t>
      </w:r>
      <w:r w:rsidR="003D17CD" w:rsidRPr="000F37AA">
        <w:t>City</w:t>
      </w:r>
      <w:r w:rsidR="00EB162E">
        <w:t xml:space="preserve"> of Portland limits</w:t>
      </w:r>
      <w:r w:rsidR="003D17CD" w:rsidRPr="000F37AA">
        <w:t xml:space="preserve">; </w:t>
      </w:r>
      <w:r w:rsidR="001E73F7">
        <w:t xml:space="preserve">the </w:t>
      </w:r>
      <w:r w:rsidR="00233BF9">
        <w:t>second</w:t>
      </w:r>
      <w:r w:rsidR="00233BF9" w:rsidRPr="000F37AA">
        <w:t xml:space="preserve"> </w:t>
      </w:r>
      <w:r w:rsidR="003D17CD" w:rsidRPr="000F37AA">
        <w:t>is for non-City.</w:t>
      </w:r>
      <w:r>
        <w:t xml:space="preserve"> </w:t>
      </w:r>
    </w:p>
    <w:p w14:paraId="74026581" w14:textId="77777777" w:rsidR="003D17CD" w:rsidRPr="00061C7E" w:rsidRDefault="003D17CD" w:rsidP="00062E21">
      <w:pPr>
        <w:pStyle w:val="PR1"/>
      </w:pPr>
      <w:r w:rsidRPr="00061C7E">
        <w:t>The Contractor shall be, and remain, in compliance with licensing requirements of the State of Oregon and the City of Portland including required individual state electrical licensing for personnel performing electrical work on this project.</w:t>
      </w:r>
    </w:p>
    <w:p w14:paraId="1AFD04F2" w14:textId="77777777" w:rsidR="003D17CD" w:rsidRPr="00061C7E" w:rsidRDefault="003D17CD" w:rsidP="00062E21">
      <w:pPr>
        <w:pStyle w:val="PR1"/>
      </w:pPr>
      <w:r w:rsidRPr="00061C7E">
        <w:t>The Contractor shall be, and remain, in compliance with licensing requirements of the State of Oregon including required individual state electrical licensing for personnel performing electrical work on this project.</w:t>
      </w:r>
    </w:p>
    <w:p w14:paraId="77B36DC9" w14:textId="77777777" w:rsidR="00222594" w:rsidRDefault="00222594" w:rsidP="00D57D6E">
      <w:pPr>
        <w:pStyle w:val="PRN"/>
      </w:pPr>
      <w:r>
        <w:t>Edit if other than “City of Portland.”</w:t>
      </w:r>
    </w:p>
    <w:p w14:paraId="3987A8DD" w14:textId="77777777" w:rsidR="00222594" w:rsidRDefault="00222594" w:rsidP="00CF15E0">
      <w:pPr>
        <w:pStyle w:val="ART"/>
        <w:keepNext/>
      </w:pPr>
      <w:r>
        <w:t>ENERGY CODE</w:t>
      </w:r>
    </w:p>
    <w:p w14:paraId="2465EF0B" w14:textId="77777777" w:rsidR="00222594" w:rsidRPr="00222594" w:rsidRDefault="00222594" w:rsidP="00222594">
      <w:pPr>
        <w:pStyle w:val="PR1"/>
      </w:pPr>
      <w:r>
        <w:t xml:space="preserve">Work shall comply with the International Energy Conservation Code (IECC) as amended by the Oregon Energy Efficiency Specialty Code (OEESC) by the </w:t>
      </w:r>
      <w:r w:rsidR="000627C0">
        <w:t>S</w:t>
      </w:r>
      <w:r>
        <w:t xml:space="preserve">tate of Oregon and </w:t>
      </w:r>
      <w:r w:rsidR="000627C0">
        <w:t xml:space="preserve">as </w:t>
      </w:r>
      <w:r>
        <w:t>enforced by the City of Portland Bureau of Development Services.</w:t>
      </w:r>
    </w:p>
    <w:p w14:paraId="75903AC8" w14:textId="77777777" w:rsidR="00222594" w:rsidRDefault="00225A48" w:rsidP="00062E21">
      <w:pPr>
        <w:pStyle w:val="ART"/>
        <w:keepNext/>
      </w:pPr>
      <w:r>
        <w:lastRenderedPageBreak/>
        <w:t>BOILER AND PRESSURE VESSEL CODE</w:t>
      </w:r>
    </w:p>
    <w:p w14:paraId="392BF6EE" w14:textId="77777777" w:rsidR="00225A48" w:rsidRDefault="00225A48" w:rsidP="00C536B8">
      <w:pPr>
        <w:pStyle w:val="PR1"/>
        <w:keepNext/>
      </w:pPr>
      <w:r>
        <w:t>Work shall comply with the Boiler and Pressure Vessel Safety Code as adopted by the State of Oregon and the following:</w:t>
      </w:r>
    </w:p>
    <w:p w14:paraId="2F9510BE" w14:textId="77777777" w:rsidR="004F01A9" w:rsidRDefault="004F01A9" w:rsidP="004F01A9">
      <w:pPr>
        <w:pStyle w:val="PR2"/>
      </w:pPr>
      <w:r>
        <w:t>2021 Boiler and Pressure Vessel Code of American Society of Mechanical Engineers (ASME) including Section I, Section II Parts A through D, Sections IV through VIII Divisions 1, 2, and 3, Section IX, and Section X.</w:t>
      </w:r>
    </w:p>
    <w:p w14:paraId="04B00B44" w14:textId="77777777" w:rsidR="004F01A9" w:rsidRDefault="004F01A9" w:rsidP="004F01A9">
      <w:pPr>
        <w:pStyle w:val="PR2"/>
      </w:pPr>
      <w:r>
        <w:t>2020 ASME B31.1</w:t>
      </w:r>
    </w:p>
    <w:p w14:paraId="70ACD2B1" w14:textId="77777777" w:rsidR="004F01A9" w:rsidRDefault="004F01A9" w:rsidP="004F01A9">
      <w:pPr>
        <w:pStyle w:val="PR2"/>
      </w:pPr>
      <w:r>
        <w:t>2020 ASME B31.3</w:t>
      </w:r>
    </w:p>
    <w:p w14:paraId="311BC9D6" w14:textId="77777777" w:rsidR="004F01A9" w:rsidRDefault="004F01A9" w:rsidP="004F01A9">
      <w:pPr>
        <w:pStyle w:val="PR2"/>
      </w:pPr>
      <w:r>
        <w:t>2019 ASME B31.5</w:t>
      </w:r>
    </w:p>
    <w:p w14:paraId="121AE233" w14:textId="77777777" w:rsidR="004F01A9" w:rsidRDefault="004F01A9" w:rsidP="004F01A9">
      <w:pPr>
        <w:pStyle w:val="PR2"/>
      </w:pPr>
      <w:r>
        <w:t>2020 ASME B31.9</w:t>
      </w:r>
    </w:p>
    <w:p w14:paraId="2C646EA2" w14:textId="77777777" w:rsidR="004F01A9" w:rsidRDefault="004F01A9" w:rsidP="004F01A9">
      <w:pPr>
        <w:pStyle w:val="PR2"/>
      </w:pPr>
      <w:r>
        <w:t xml:space="preserve">2021 </w:t>
      </w:r>
      <w:proofErr w:type="spellStart"/>
      <w:r>
        <w:t>NBBI</w:t>
      </w:r>
      <w:proofErr w:type="spellEnd"/>
      <w:r>
        <w:t xml:space="preserve"> NB23</w:t>
      </w:r>
    </w:p>
    <w:p w14:paraId="23F507DB" w14:textId="77777777" w:rsidR="004F01A9" w:rsidRDefault="004F01A9" w:rsidP="004F01A9">
      <w:pPr>
        <w:pStyle w:val="PR2"/>
      </w:pPr>
      <w:r>
        <w:t>2019 NFPA 85</w:t>
      </w:r>
    </w:p>
    <w:p w14:paraId="0A3B2F95" w14:textId="77777777" w:rsidR="004F01A9" w:rsidRDefault="004F01A9" w:rsidP="004F01A9">
      <w:pPr>
        <w:pStyle w:val="PR2"/>
      </w:pPr>
      <w:r>
        <w:t>2018 ASME CSD-1</w:t>
      </w:r>
    </w:p>
    <w:p w14:paraId="2D80B170" w14:textId="77777777" w:rsidR="00225A48" w:rsidRDefault="00225A48" w:rsidP="00D57D6E">
      <w:pPr>
        <w:pStyle w:val="PRN"/>
      </w:pPr>
      <w:r>
        <w:t>Edit if other than “City of Portland.”</w:t>
      </w:r>
    </w:p>
    <w:p w14:paraId="3D23E3FD" w14:textId="77777777" w:rsidR="00225A48" w:rsidRDefault="00225A48" w:rsidP="00225A48">
      <w:pPr>
        <w:pStyle w:val="ART"/>
        <w:keepNext/>
      </w:pPr>
      <w:r>
        <w:t>SOLAR CODE</w:t>
      </w:r>
    </w:p>
    <w:p w14:paraId="24EE33A2" w14:textId="77777777" w:rsidR="00225A48" w:rsidRPr="00225A48" w:rsidRDefault="00225A48" w:rsidP="00225A48">
      <w:pPr>
        <w:pStyle w:val="PR1"/>
      </w:pPr>
      <w:r>
        <w:t xml:space="preserve">Work shall comply with the Oregon Solar Installation Specialty Code (OSISC), as developed by the State of Oregon and </w:t>
      </w:r>
      <w:r w:rsidR="000627C0">
        <w:t xml:space="preserve">as </w:t>
      </w:r>
      <w:r>
        <w:t>enforced by the City of Portland Bureau of Development Services.</w:t>
      </w:r>
    </w:p>
    <w:p w14:paraId="613F95B5" w14:textId="77777777" w:rsidR="003D17CD" w:rsidRPr="00D579BB" w:rsidRDefault="003D17CD" w:rsidP="00062E21">
      <w:pPr>
        <w:pStyle w:val="ART"/>
        <w:keepNext/>
      </w:pPr>
      <w:r w:rsidRPr="00D579BB">
        <w:t>THIRD-PARTY CERTIFICATION REQUIREMENTS</w:t>
      </w:r>
    </w:p>
    <w:p w14:paraId="5F5F2202" w14:textId="77777777" w:rsidR="003D17CD" w:rsidRPr="00061C7E" w:rsidRDefault="003D17CD" w:rsidP="004E137B">
      <w:pPr>
        <w:pStyle w:val="PR1"/>
        <w:keepNext/>
      </w:pPr>
      <w:r w:rsidRPr="00061C7E">
        <w:t>Electrical equipment furnished or installed shall bear the seal of a State of Oregon Electrical and Elevator Board approved testing laboratory.</w:t>
      </w:r>
    </w:p>
    <w:p w14:paraId="5FA89E16" w14:textId="77777777" w:rsidR="003D17CD" w:rsidRPr="00314BF1" w:rsidRDefault="003D17CD" w:rsidP="00062E21">
      <w:pPr>
        <w:pStyle w:val="PR2"/>
      </w:pPr>
      <w:r w:rsidRPr="00314BF1">
        <w:t>Underwriters’ Laboratories (UL) and Canadian Standards Association (CSA) are approved laboratories for all categories of electrical products.</w:t>
      </w:r>
    </w:p>
    <w:p w14:paraId="62C59964" w14:textId="77777777" w:rsidR="003D17CD" w:rsidRPr="000F37AA" w:rsidRDefault="003D17CD" w:rsidP="00D57D6E">
      <w:pPr>
        <w:pStyle w:val="PRN"/>
      </w:pPr>
      <w:r w:rsidRPr="000F37AA">
        <w:t>Review the list of approved testing laboratories distributed by the State of Oregon Electrical and Elevator Board.  Add any approved laboratories that may furnish or install equipment as related to the project.</w:t>
      </w:r>
    </w:p>
    <w:p w14:paraId="519A84A4" w14:textId="77777777" w:rsidR="003D17CD" w:rsidRPr="00314BF1" w:rsidRDefault="003D17CD" w:rsidP="00062E21">
      <w:pPr>
        <w:pStyle w:val="PR2"/>
      </w:pPr>
      <w:r w:rsidRPr="00314BF1">
        <w:t>Additional approved laboratories may exist.  Examples of other approved laboratories include the Federal Aviation Administration (FAA) for airport lighting equipment specifically conforming to FAA standards, and FM Global (FM) for categories of equipment for hazardous locations, fire pump controls, and electronic protective systems.  Other laboratories will be allowed if the Contractor can demonstrate that the laboratory is approved by the State of Oregon Electrical and Elevator Board.</w:t>
      </w:r>
    </w:p>
    <w:p w14:paraId="2FDF7653" w14:textId="77777777" w:rsidR="003D17CD" w:rsidRPr="00061C7E" w:rsidRDefault="003D17CD" w:rsidP="00C536B8">
      <w:pPr>
        <w:pStyle w:val="PR1"/>
        <w:keepNext/>
      </w:pPr>
      <w:r w:rsidRPr="00061C7E">
        <w:t>Equipment Without Proper Labeling:</w:t>
      </w:r>
    </w:p>
    <w:p w14:paraId="2ACB1376" w14:textId="77777777" w:rsidR="003D17CD" w:rsidRPr="00314BF1" w:rsidRDefault="003D17CD" w:rsidP="00062E21">
      <w:pPr>
        <w:pStyle w:val="PR2"/>
      </w:pPr>
      <w:r w:rsidRPr="00314BF1">
        <w:t>A letter of acceptance by a State of Oregon Special Deputy Electrical Inspector will be accepted in lieu of a testing laboratory certification for specific and/or unusual equipment not normally listed.  Unless otherwise specified, costs, work, and time required for obtaining state acceptance shall be the Contractor’s responsibility.</w:t>
      </w:r>
    </w:p>
    <w:p w14:paraId="4BB67061" w14:textId="77777777" w:rsidR="003D17CD" w:rsidRPr="00314BF1" w:rsidRDefault="003D17CD" w:rsidP="00062E21">
      <w:pPr>
        <w:pStyle w:val="PR2"/>
      </w:pPr>
      <w:r w:rsidRPr="00314BF1">
        <w:t>Labels or permits will not be required for equipment and materials specifically considered exempt by the authority having jurisdiction.</w:t>
      </w:r>
    </w:p>
    <w:p w14:paraId="31022343" w14:textId="77777777" w:rsidR="003D17CD" w:rsidRPr="000F37AA" w:rsidRDefault="003D17CD" w:rsidP="00D57D6E">
      <w:pPr>
        <w:pStyle w:val="PRN"/>
      </w:pPr>
      <w:r w:rsidRPr="000F37AA">
        <w:lastRenderedPageBreak/>
        <w:t>Retain only items appropriate to the work.</w:t>
      </w:r>
    </w:p>
    <w:p w14:paraId="3A0F9C01" w14:textId="77777777" w:rsidR="003D17CD" w:rsidRPr="00D579BB" w:rsidRDefault="003D17CD" w:rsidP="00062E21">
      <w:pPr>
        <w:pStyle w:val="ART"/>
        <w:keepNext/>
      </w:pPr>
      <w:r w:rsidRPr="00D579BB">
        <w:t>SPECIAL INSPECTIONS</w:t>
      </w:r>
    </w:p>
    <w:p w14:paraId="03E0A3F7" w14:textId="77777777" w:rsidR="003D17CD" w:rsidRPr="00061C7E" w:rsidRDefault="003D17CD" w:rsidP="00C536B8">
      <w:pPr>
        <w:pStyle w:val="PR1"/>
        <w:keepNext/>
      </w:pPr>
      <w:r w:rsidRPr="00061C7E">
        <w:t xml:space="preserve">In accordance with the </w:t>
      </w:r>
      <w:r w:rsidR="00187B43">
        <w:t>International</w:t>
      </w:r>
      <w:r w:rsidRPr="00061C7E">
        <w:t xml:space="preserve"> Building Code (</w:t>
      </w:r>
      <w:r w:rsidR="00187B43">
        <w:t>IBC</w:t>
      </w:r>
      <w:r w:rsidRPr="00061C7E">
        <w:t>) Chapter 17, special inspections are required for the following types of work:</w:t>
      </w:r>
    </w:p>
    <w:p w14:paraId="5BFEE6C9" w14:textId="77777777" w:rsidR="003D17CD" w:rsidRPr="00314BF1" w:rsidRDefault="003D17CD" w:rsidP="00062E21">
      <w:pPr>
        <w:pStyle w:val="PR2"/>
      </w:pPr>
      <w:r w:rsidRPr="00314BF1">
        <w:t>Concrete</w:t>
      </w:r>
    </w:p>
    <w:p w14:paraId="5CE8A5BA" w14:textId="77777777" w:rsidR="003D17CD" w:rsidRPr="00314BF1" w:rsidRDefault="003D17CD" w:rsidP="00062E21">
      <w:pPr>
        <w:pStyle w:val="PR2"/>
      </w:pPr>
      <w:r w:rsidRPr="00314BF1">
        <w:t>Bolts Installed in Concrete</w:t>
      </w:r>
    </w:p>
    <w:p w14:paraId="642AC24F" w14:textId="77777777" w:rsidR="003D17CD" w:rsidRPr="00314BF1" w:rsidRDefault="003D17CD" w:rsidP="00062E21">
      <w:pPr>
        <w:pStyle w:val="PR2"/>
      </w:pPr>
      <w:r w:rsidRPr="00314BF1">
        <w:t>Ductile Moment</w:t>
      </w:r>
      <w:r w:rsidRPr="00314BF1">
        <w:noBreakHyphen/>
        <w:t>Resisting Concrete Frame</w:t>
      </w:r>
    </w:p>
    <w:p w14:paraId="576D468F" w14:textId="77777777" w:rsidR="003D17CD" w:rsidRPr="00314BF1" w:rsidRDefault="003D17CD" w:rsidP="00062E21">
      <w:pPr>
        <w:pStyle w:val="PR2"/>
      </w:pPr>
      <w:r w:rsidRPr="00314BF1">
        <w:t>Reinforcing Steel and Prestressing Steel</w:t>
      </w:r>
    </w:p>
    <w:p w14:paraId="1638D171" w14:textId="77777777" w:rsidR="003D17CD" w:rsidRPr="00314BF1" w:rsidRDefault="003D17CD" w:rsidP="00062E21">
      <w:pPr>
        <w:pStyle w:val="PR2"/>
      </w:pPr>
      <w:r w:rsidRPr="00314BF1">
        <w:t>Welding</w:t>
      </w:r>
    </w:p>
    <w:p w14:paraId="1CC78856" w14:textId="77777777" w:rsidR="003D17CD" w:rsidRPr="00314BF1" w:rsidRDefault="003D17CD" w:rsidP="00062E21">
      <w:pPr>
        <w:pStyle w:val="PR2"/>
      </w:pPr>
      <w:r w:rsidRPr="00314BF1">
        <w:t>High</w:t>
      </w:r>
      <w:r w:rsidRPr="00314BF1">
        <w:noBreakHyphen/>
        <w:t>Strength Bolting</w:t>
      </w:r>
    </w:p>
    <w:p w14:paraId="2DC60C22" w14:textId="77777777" w:rsidR="003D17CD" w:rsidRPr="00314BF1" w:rsidRDefault="003D17CD" w:rsidP="00062E21">
      <w:pPr>
        <w:pStyle w:val="PR2"/>
      </w:pPr>
      <w:r w:rsidRPr="00314BF1">
        <w:t>Structural Masonry</w:t>
      </w:r>
    </w:p>
    <w:p w14:paraId="21CC335E" w14:textId="77777777" w:rsidR="003D17CD" w:rsidRPr="00314BF1" w:rsidRDefault="003D17CD" w:rsidP="00062E21">
      <w:pPr>
        <w:pStyle w:val="PR2"/>
      </w:pPr>
      <w:r w:rsidRPr="00314BF1">
        <w:t>Reinforced Gypsum Concrete</w:t>
      </w:r>
    </w:p>
    <w:p w14:paraId="31DB6DC6" w14:textId="77777777" w:rsidR="003D17CD" w:rsidRPr="00314BF1" w:rsidRDefault="003D17CD" w:rsidP="00062E21">
      <w:pPr>
        <w:pStyle w:val="PR2"/>
      </w:pPr>
      <w:r w:rsidRPr="00314BF1">
        <w:t>Insulating Concrete Fill</w:t>
      </w:r>
    </w:p>
    <w:p w14:paraId="4A0F097D" w14:textId="77777777" w:rsidR="003D17CD" w:rsidRPr="00314BF1" w:rsidRDefault="003D17CD" w:rsidP="00062E21">
      <w:pPr>
        <w:pStyle w:val="PR2"/>
      </w:pPr>
      <w:r w:rsidRPr="00314BF1">
        <w:t>Spray</w:t>
      </w:r>
      <w:r w:rsidRPr="00314BF1">
        <w:noBreakHyphen/>
        <w:t>Applied Fireproofing</w:t>
      </w:r>
    </w:p>
    <w:p w14:paraId="3DEBE1F8" w14:textId="77777777" w:rsidR="003D17CD" w:rsidRPr="00314BF1" w:rsidRDefault="003D17CD" w:rsidP="00062E21">
      <w:pPr>
        <w:pStyle w:val="PR2"/>
      </w:pPr>
      <w:r w:rsidRPr="00314BF1">
        <w:t>Piling, Drilled Piers and Caissons</w:t>
      </w:r>
    </w:p>
    <w:p w14:paraId="1D48AD9B" w14:textId="77777777" w:rsidR="003D17CD" w:rsidRPr="00314BF1" w:rsidRDefault="003D17CD" w:rsidP="00062E21">
      <w:pPr>
        <w:pStyle w:val="PR2"/>
      </w:pPr>
      <w:r w:rsidRPr="00314BF1">
        <w:t>Shotcrete</w:t>
      </w:r>
    </w:p>
    <w:p w14:paraId="0838C3DE" w14:textId="77777777" w:rsidR="003D17CD" w:rsidRPr="00314BF1" w:rsidRDefault="003D17CD" w:rsidP="00062E21">
      <w:pPr>
        <w:pStyle w:val="PR2"/>
      </w:pPr>
      <w:r w:rsidRPr="00314BF1">
        <w:t>Special Grading, Excavation and Filling</w:t>
      </w:r>
    </w:p>
    <w:p w14:paraId="04BEC3BD" w14:textId="77777777" w:rsidR="003D17CD" w:rsidRPr="00314BF1" w:rsidRDefault="003D17CD" w:rsidP="00062E21">
      <w:pPr>
        <w:pStyle w:val="PR2"/>
      </w:pPr>
      <w:r w:rsidRPr="00314BF1">
        <w:t>Special Cases (work which, in the opinion of the building official, involves unusual hazards or conditions)</w:t>
      </w:r>
    </w:p>
    <w:p w14:paraId="2567E3F5" w14:textId="77777777" w:rsidR="003D17CD" w:rsidRDefault="003D17CD" w:rsidP="00062E21">
      <w:pPr>
        <w:pStyle w:val="PR1"/>
      </w:pPr>
      <w:r w:rsidRPr="00061C7E">
        <w:t>The Contractor shall be responsible for the timely coordination of all special inspections required.  The Port will determine which testing agency or agencies to use and will make arrangements for the testing agency’s or agencies’ reimbursement.</w:t>
      </w:r>
    </w:p>
    <w:p w14:paraId="1DA0ED9F" w14:textId="77777777" w:rsidR="00F6617F" w:rsidRDefault="00F6617F" w:rsidP="00F6617F">
      <w:pPr>
        <w:pStyle w:val="ART"/>
      </w:pPr>
      <w:r>
        <w:t>WARRANTY REQUIREMENTS</w:t>
      </w:r>
    </w:p>
    <w:p w14:paraId="41C8A868" w14:textId="77777777" w:rsidR="00F6617F" w:rsidRPr="00F6617F" w:rsidRDefault="00F6617F" w:rsidP="00F6617F">
      <w:pPr>
        <w:pStyle w:val="PR1"/>
      </w:pPr>
      <w:r>
        <w:t>The Contractor shall be responsible for compliance with manufacturers’ warranty requirements, including inspections.</w:t>
      </w:r>
    </w:p>
    <w:p w14:paraId="49F167BC" w14:textId="77777777" w:rsidR="003D17CD" w:rsidRPr="000F37AA" w:rsidRDefault="003D17CD" w:rsidP="00D57D6E">
      <w:pPr>
        <w:pStyle w:val="PRN"/>
      </w:pPr>
      <w:r w:rsidRPr="000F37AA">
        <w:t>Use A for small projects.  Use B and C for large projects.</w:t>
      </w:r>
    </w:p>
    <w:p w14:paraId="4D257BDA" w14:textId="77777777" w:rsidR="003D17CD" w:rsidRPr="00D579BB" w:rsidRDefault="003D17CD" w:rsidP="00062E21">
      <w:pPr>
        <w:pStyle w:val="ART"/>
        <w:keepNext/>
      </w:pPr>
      <w:r w:rsidRPr="00D579BB">
        <w:t>PROGRESS MEETINGS</w:t>
      </w:r>
    </w:p>
    <w:p w14:paraId="320D2AE5" w14:textId="77777777" w:rsidR="003D17CD" w:rsidRPr="00061C7E" w:rsidRDefault="003D17CD" w:rsidP="00062E21">
      <w:pPr>
        <w:pStyle w:val="PR1"/>
      </w:pPr>
      <w:r w:rsidRPr="00061C7E">
        <w:t>Job meetings may be held between the Contractor and the Port.  The time and place of the meetings will be established by the Port.</w:t>
      </w:r>
    </w:p>
    <w:p w14:paraId="3E335EB8" w14:textId="77777777" w:rsidR="003D17CD" w:rsidRPr="00061C7E" w:rsidRDefault="003D17CD" w:rsidP="00062E21">
      <w:pPr>
        <w:pStyle w:val="PR1"/>
      </w:pPr>
      <w:r w:rsidRPr="00061C7E">
        <w:t xml:space="preserve">Regularly scheduled job meetings </w:t>
      </w:r>
      <w:r w:rsidR="00D673F7">
        <w:t>will</w:t>
      </w:r>
      <w:r w:rsidRPr="00061C7E">
        <w:t xml:space="preserve"> be held between the Contractor and the Port.  The Contractor’s representative at job meetings shall be the person directly responsible for the work.  The time and place of the meetings will be established by the Port.</w:t>
      </w:r>
    </w:p>
    <w:p w14:paraId="53C59647" w14:textId="77777777" w:rsidR="003D17CD" w:rsidRDefault="003D17CD" w:rsidP="0097238D">
      <w:pPr>
        <w:pStyle w:val="PR1"/>
        <w:keepNext/>
      </w:pPr>
      <w:r w:rsidRPr="00061C7E">
        <w:lastRenderedPageBreak/>
        <w:t>Other unscheduled meetings may be required to resolve specific issues at the work area.</w:t>
      </w:r>
    </w:p>
    <w:p w14:paraId="5E230F09" w14:textId="77777777" w:rsidR="004A3893" w:rsidRPr="000F37AA" w:rsidRDefault="004A3893" w:rsidP="00D57D6E">
      <w:pPr>
        <w:pStyle w:val="PRN"/>
      </w:pPr>
      <w:r w:rsidRPr="000F37AA">
        <w:t xml:space="preserve">Use </w:t>
      </w:r>
      <w:r>
        <w:t>the following for projects with a BIM component requiring Contractor participation (usually only applies to CM/GC projects)</w:t>
      </w:r>
      <w:r w:rsidRPr="000F37AA">
        <w:t>.</w:t>
      </w:r>
    </w:p>
    <w:p w14:paraId="0204C608" w14:textId="77777777" w:rsidR="004A3893" w:rsidRDefault="004A3893" w:rsidP="004A3893">
      <w:pPr>
        <w:pStyle w:val="ART"/>
      </w:pPr>
      <w:r>
        <w:t>BUILDING INFORMATION MODELING (BIM) REQUIREMENTS</w:t>
      </w:r>
    </w:p>
    <w:p w14:paraId="0C2DDAC1" w14:textId="170E384E" w:rsidR="004A3893" w:rsidRDefault="004A3893" w:rsidP="004E137B">
      <w:pPr>
        <w:pStyle w:val="PR1"/>
        <w:keepNext/>
      </w:pPr>
      <w:r w:rsidRPr="003F0107">
        <w:t>BIM will be used for design</w:t>
      </w:r>
      <w:r>
        <w:t xml:space="preserve"> and shall c</w:t>
      </w:r>
      <w:r w:rsidRPr="003F0107">
        <w:t xml:space="preserve">ontinue </w:t>
      </w:r>
      <w:r>
        <w:t xml:space="preserve">to be </w:t>
      </w:r>
      <w:r w:rsidRPr="003F0107">
        <w:t>use</w:t>
      </w:r>
      <w:r>
        <w:t>d throughout</w:t>
      </w:r>
      <w:r w:rsidRPr="003F0107">
        <w:t xml:space="preserve"> construction.  </w:t>
      </w:r>
      <w:r w:rsidR="00F34B6E">
        <w:t>See Section 013129, Building Information Management.</w:t>
      </w:r>
      <w:r w:rsidR="00F34B6E" w:rsidRPr="003F0107">
        <w:t xml:space="preserve">  </w:t>
      </w:r>
      <w:r w:rsidRPr="003F0107">
        <w:t>Adhere to requirements of the most current version of the Port’s CAD &amp; BIM Standards Manual, including the “best practices” list</w:t>
      </w:r>
      <w:r>
        <w:t>.</w:t>
      </w:r>
    </w:p>
    <w:p w14:paraId="562DDA48" w14:textId="77777777" w:rsidR="0021182B" w:rsidRPr="000F37AA" w:rsidRDefault="0021182B" w:rsidP="00D57D6E">
      <w:pPr>
        <w:pStyle w:val="PRN"/>
      </w:pPr>
      <w:r w:rsidRPr="000F37AA">
        <w:t xml:space="preserve">Use </w:t>
      </w:r>
      <w:r>
        <w:t xml:space="preserve">the following only for negotiated projects at airports where the Contractor will be hired early </w:t>
      </w:r>
      <w:r w:rsidR="003C0D37">
        <w:t>to advise on design</w:t>
      </w:r>
      <w:r w:rsidR="00D75552">
        <w:t xml:space="preserve"> and constructability</w:t>
      </w:r>
      <w:r w:rsidRPr="000F37AA">
        <w:t>.</w:t>
      </w:r>
    </w:p>
    <w:p w14:paraId="381BE785" w14:textId="77777777" w:rsidR="00EB0DC1" w:rsidRDefault="00EB0DC1" w:rsidP="006262A3">
      <w:pPr>
        <w:pStyle w:val="ART"/>
        <w:keepNext/>
      </w:pPr>
      <w:r>
        <w:t>FEDERAL AVIATION ADMINISTRATION (FAA)</w:t>
      </w:r>
      <w:r w:rsidR="00D75552">
        <w:t xml:space="preserve"> INFORMATION</w:t>
      </w:r>
    </w:p>
    <w:p w14:paraId="218DAF09" w14:textId="77777777" w:rsidR="00EB0DC1" w:rsidRPr="0070512F" w:rsidRDefault="00EB0DC1" w:rsidP="006262A3">
      <w:pPr>
        <w:pStyle w:val="PR1"/>
        <w:keepNext/>
      </w:pPr>
      <w:r>
        <w:t>The project is located under a set of “imaginary safety surfaces,” as established by the FAA, known as FAR Part 77 and TERPS.  Penetration (temporary or permanent) of these surfaces is controlled by the FAA.  All construction in the area will require prior approval from the FAA.  The requisite submittal, known as a 7460, will be submitted by the Port but will require specific information from the Contractor regarding construction methods, equipment, equipment heights, activity durations and schedules, communication plans, etc.</w:t>
      </w:r>
    </w:p>
    <w:p w14:paraId="5380BE51" w14:textId="77777777" w:rsidR="003D17CD" w:rsidRDefault="003D17CD" w:rsidP="00062E21">
      <w:pPr>
        <w:pStyle w:val="EOS"/>
      </w:pPr>
      <w:r>
        <w:t>END OF SECTION 01110</w:t>
      </w:r>
      <w:r w:rsidR="00E229B9">
        <w:t>0</w:t>
      </w:r>
    </w:p>
    <w:sectPr w:rsidR="003D17CD" w:rsidSect="000E40B3">
      <w:footerReference w:type="even"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8F18" w14:textId="77777777" w:rsidR="00352171" w:rsidRDefault="00352171">
      <w:r>
        <w:separator/>
      </w:r>
    </w:p>
  </w:endnote>
  <w:endnote w:type="continuationSeparator" w:id="0">
    <w:p w14:paraId="247B15DE" w14:textId="77777777" w:rsidR="00352171" w:rsidRDefault="0035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74BE" w14:textId="77777777" w:rsidR="00FD43A7" w:rsidRPr="003770E7" w:rsidRDefault="00FD43A7">
    <w:pPr>
      <w:rPr>
        <w:sz w:val="18"/>
        <w:szCs w:val="18"/>
      </w:rPr>
    </w:pPr>
  </w:p>
  <w:tbl>
    <w:tblPr>
      <w:tblW w:w="0" w:type="auto"/>
      <w:tblLook w:val="01E0" w:firstRow="1" w:lastRow="1" w:firstColumn="1" w:lastColumn="1" w:noHBand="0" w:noVBand="0"/>
    </w:tblPr>
    <w:tblGrid>
      <w:gridCol w:w="3452"/>
      <w:gridCol w:w="5908"/>
    </w:tblGrid>
    <w:tr w:rsidR="00FD43A7" w:rsidRPr="00A87FB2" w14:paraId="261FB0F8" w14:textId="77777777" w:rsidTr="00A87FB2">
      <w:tc>
        <w:tcPr>
          <w:tcW w:w="3528" w:type="dxa"/>
        </w:tcPr>
        <w:p w14:paraId="15B84AF5" w14:textId="77777777" w:rsidR="00FD43A7" w:rsidRPr="00A87FB2" w:rsidRDefault="00FD43A7" w:rsidP="00A87FB2">
          <w:pPr>
            <w:pStyle w:val="Footer"/>
            <w:tabs>
              <w:tab w:val="clear" w:pos="4320"/>
              <w:tab w:val="clear" w:pos="8640"/>
            </w:tabs>
            <w:rPr>
              <w:sz w:val="18"/>
              <w:szCs w:val="18"/>
            </w:rPr>
          </w:pPr>
          <w:r w:rsidRPr="00A87FB2">
            <w:rPr>
              <w:sz w:val="18"/>
              <w:szCs w:val="18"/>
            </w:rPr>
            <w:t>SUMMARY OF WORK</w:t>
          </w:r>
        </w:p>
      </w:tc>
      <w:tc>
        <w:tcPr>
          <w:tcW w:w="6048" w:type="dxa"/>
        </w:tcPr>
        <w:p w14:paraId="5A2059BE" w14:textId="087F9D6C" w:rsidR="00FD43A7" w:rsidRPr="005F16ED" w:rsidRDefault="00FD43A7" w:rsidP="005F16ED">
          <w:pPr>
            <w:pStyle w:val="Footer"/>
            <w:tabs>
              <w:tab w:val="clear" w:pos="4320"/>
              <w:tab w:val="clear" w:pos="8640"/>
            </w:tabs>
            <w:jc w:val="right"/>
            <w:rPr>
              <w:sz w:val="16"/>
              <w:szCs w:val="16"/>
            </w:rPr>
          </w:pPr>
          <w:r>
            <w:rPr>
              <w:sz w:val="16"/>
              <w:szCs w:val="16"/>
            </w:rPr>
            <w:fldChar w:fldCharType="begin"/>
          </w:r>
          <w:r>
            <w:rPr>
              <w:sz w:val="16"/>
              <w:szCs w:val="16"/>
            </w:rPr>
            <w:instrText xml:space="preserve"> DATE   \* MERGEFORMAT </w:instrText>
          </w:r>
          <w:r>
            <w:rPr>
              <w:sz w:val="16"/>
              <w:szCs w:val="16"/>
            </w:rPr>
            <w:fldChar w:fldCharType="separate"/>
          </w:r>
          <w:r w:rsidR="004F01A9">
            <w:rPr>
              <w:noProof/>
              <w:sz w:val="16"/>
              <w:szCs w:val="16"/>
            </w:rPr>
            <w:t>7/11/2024</w:t>
          </w:r>
          <w:r>
            <w:rPr>
              <w:sz w:val="16"/>
              <w:szCs w:val="16"/>
            </w:rPr>
            <w:fldChar w:fldCharType="end"/>
          </w:r>
        </w:p>
      </w:tc>
    </w:tr>
    <w:tr w:rsidR="00FD43A7" w:rsidRPr="00A87FB2" w14:paraId="0EF27080" w14:textId="77777777" w:rsidTr="00A87FB2">
      <w:tc>
        <w:tcPr>
          <w:tcW w:w="3528" w:type="dxa"/>
        </w:tcPr>
        <w:p w14:paraId="28D4DB48" w14:textId="77777777" w:rsidR="00FD43A7" w:rsidRPr="00A87FB2" w:rsidRDefault="00FD43A7" w:rsidP="00A87FB2">
          <w:pPr>
            <w:pStyle w:val="Footer"/>
            <w:tabs>
              <w:tab w:val="clear" w:pos="4320"/>
              <w:tab w:val="clear" w:pos="8640"/>
            </w:tabs>
            <w:rPr>
              <w:sz w:val="18"/>
              <w:szCs w:val="18"/>
            </w:rPr>
          </w:pPr>
          <w:r w:rsidRPr="00A87FB2">
            <w:rPr>
              <w:sz w:val="18"/>
              <w:szCs w:val="18"/>
            </w:rPr>
            <w:t>011100-</w:t>
          </w:r>
          <w:r w:rsidRPr="00A87FB2">
            <w:rPr>
              <w:rStyle w:val="PageNumber"/>
              <w:sz w:val="18"/>
              <w:szCs w:val="18"/>
            </w:rPr>
            <w:fldChar w:fldCharType="begin"/>
          </w:r>
          <w:r w:rsidRPr="00A87FB2">
            <w:rPr>
              <w:rStyle w:val="PageNumber"/>
              <w:sz w:val="18"/>
              <w:szCs w:val="18"/>
            </w:rPr>
            <w:instrText xml:space="preserve"> PAGE </w:instrText>
          </w:r>
          <w:r w:rsidRPr="00A87FB2">
            <w:rPr>
              <w:rStyle w:val="PageNumber"/>
              <w:sz w:val="18"/>
              <w:szCs w:val="18"/>
            </w:rPr>
            <w:fldChar w:fldCharType="separate"/>
          </w:r>
          <w:r w:rsidR="00E84F31">
            <w:rPr>
              <w:rStyle w:val="PageNumber"/>
              <w:noProof/>
              <w:sz w:val="18"/>
              <w:szCs w:val="18"/>
            </w:rPr>
            <w:t>10</w:t>
          </w:r>
          <w:r w:rsidRPr="00A87FB2">
            <w:rPr>
              <w:rStyle w:val="PageNumber"/>
              <w:sz w:val="18"/>
              <w:szCs w:val="18"/>
            </w:rPr>
            <w:fldChar w:fldCharType="end"/>
          </w:r>
        </w:p>
      </w:tc>
      <w:tc>
        <w:tcPr>
          <w:tcW w:w="6048" w:type="dxa"/>
        </w:tcPr>
        <w:p w14:paraId="08ED340C" w14:textId="583DB7E2" w:rsidR="00FD43A7" w:rsidRPr="005F16ED" w:rsidRDefault="00FD43A7" w:rsidP="00A87FB2">
          <w:pPr>
            <w:pStyle w:val="Footer"/>
            <w:tabs>
              <w:tab w:val="clear" w:pos="4320"/>
              <w:tab w:val="clear" w:pos="8640"/>
            </w:tabs>
            <w:jc w:val="right"/>
            <w:rPr>
              <w:sz w:val="16"/>
              <w:szCs w:val="16"/>
            </w:rPr>
          </w:pPr>
          <w:r w:rsidRPr="005F16ED">
            <w:rPr>
              <w:sz w:val="16"/>
              <w:szCs w:val="16"/>
            </w:rPr>
            <w:fldChar w:fldCharType="begin"/>
          </w:r>
          <w:r w:rsidRPr="005F16ED">
            <w:rPr>
              <w:sz w:val="16"/>
              <w:szCs w:val="16"/>
            </w:rPr>
            <w:instrText xml:space="preserve"> FILENAME  \* Upper \p  \* MERGEFORMAT </w:instrText>
          </w:r>
          <w:r w:rsidRPr="005F16ED">
            <w:rPr>
              <w:sz w:val="16"/>
              <w:szCs w:val="16"/>
            </w:rPr>
            <w:fldChar w:fldCharType="separate"/>
          </w:r>
          <w:r w:rsidR="00851D45">
            <w:rPr>
              <w:noProof/>
              <w:sz w:val="16"/>
              <w:szCs w:val="16"/>
            </w:rPr>
            <w:t>S:\MASTERS\DIV-01\011100MT.DOCX</w:t>
          </w:r>
          <w:r w:rsidRPr="005F16ED">
            <w:rPr>
              <w:sz w:val="16"/>
              <w:szCs w:val="16"/>
            </w:rPr>
            <w:fldChar w:fldCharType="end"/>
          </w:r>
        </w:p>
      </w:tc>
    </w:tr>
  </w:tbl>
  <w:p w14:paraId="05D2A490" w14:textId="77777777" w:rsidR="00FD43A7" w:rsidRPr="00832204" w:rsidRDefault="00FD43A7" w:rsidP="00902E6E">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510B" w14:textId="77777777" w:rsidR="00FD43A7" w:rsidRPr="003770E7" w:rsidRDefault="00FD43A7">
    <w:pPr>
      <w:rPr>
        <w:sz w:val="18"/>
        <w:szCs w:val="18"/>
      </w:rPr>
    </w:pPr>
  </w:p>
  <w:tbl>
    <w:tblPr>
      <w:tblW w:w="0" w:type="auto"/>
      <w:tblLook w:val="01E0" w:firstRow="1" w:lastRow="1" w:firstColumn="1" w:lastColumn="1" w:noHBand="0" w:noVBand="0"/>
    </w:tblPr>
    <w:tblGrid>
      <w:gridCol w:w="5123"/>
      <w:gridCol w:w="4237"/>
    </w:tblGrid>
    <w:tr w:rsidR="00FD43A7" w:rsidRPr="00A87FB2" w14:paraId="27C6CC03" w14:textId="77777777" w:rsidTr="00A87FB2">
      <w:tc>
        <w:tcPr>
          <w:tcW w:w="5238" w:type="dxa"/>
        </w:tcPr>
        <w:p w14:paraId="305117D8" w14:textId="471656B7" w:rsidR="00FD43A7" w:rsidRPr="005F16ED" w:rsidRDefault="00FD43A7" w:rsidP="005F16ED">
          <w:pPr>
            <w:pStyle w:val="Footer"/>
            <w:tabs>
              <w:tab w:val="clear" w:pos="4320"/>
              <w:tab w:val="clear" w:pos="8640"/>
            </w:tabs>
            <w:rPr>
              <w:sz w:val="16"/>
              <w:szCs w:val="16"/>
            </w:rPr>
          </w:pPr>
          <w:r w:rsidRPr="005F16ED">
            <w:rPr>
              <w:sz w:val="16"/>
              <w:szCs w:val="16"/>
            </w:rPr>
            <w:fldChar w:fldCharType="begin"/>
          </w:r>
          <w:r w:rsidRPr="005F16ED">
            <w:rPr>
              <w:sz w:val="16"/>
              <w:szCs w:val="16"/>
            </w:rPr>
            <w:instrText xml:space="preserve"> DATE   \* MERGEFORMAT </w:instrText>
          </w:r>
          <w:r w:rsidRPr="005F16ED">
            <w:rPr>
              <w:sz w:val="16"/>
              <w:szCs w:val="16"/>
            </w:rPr>
            <w:fldChar w:fldCharType="separate"/>
          </w:r>
          <w:r w:rsidR="004F01A9">
            <w:rPr>
              <w:noProof/>
              <w:sz w:val="16"/>
              <w:szCs w:val="16"/>
            </w:rPr>
            <w:t>7/11/2024</w:t>
          </w:r>
          <w:r w:rsidRPr="005F16ED">
            <w:rPr>
              <w:sz w:val="16"/>
              <w:szCs w:val="16"/>
            </w:rPr>
            <w:fldChar w:fldCharType="end"/>
          </w:r>
        </w:p>
      </w:tc>
      <w:tc>
        <w:tcPr>
          <w:tcW w:w="4338" w:type="dxa"/>
        </w:tcPr>
        <w:p w14:paraId="320C9542" w14:textId="77777777" w:rsidR="00FD43A7" w:rsidRPr="00A87FB2" w:rsidRDefault="00FD43A7" w:rsidP="00A87FB2">
          <w:pPr>
            <w:pStyle w:val="Footer"/>
            <w:tabs>
              <w:tab w:val="clear" w:pos="4320"/>
              <w:tab w:val="clear" w:pos="8640"/>
            </w:tabs>
            <w:jc w:val="right"/>
            <w:rPr>
              <w:sz w:val="18"/>
              <w:szCs w:val="18"/>
            </w:rPr>
          </w:pPr>
          <w:r w:rsidRPr="00A87FB2">
            <w:rPr>
              <w:sz w:val="18"/>
              <w:szCs w:val="18"/>
            </w:rPr>
            <w:t>SUMMARY OF WORK</w:t>
          </w:r>
        </w:p>
      </w:tc>
    </w:tr>
    <w:tr w:rsidR="00FD43A7" w:rsidRPr="00A87FB2" w14:paraId="31933ACA" w14:textId="77777777" w:rsidTr="00A87FB2">
      <w:tc>
        <w:tcPr>
          <w:tcW w:w="5238" w:type="dxa"/>
        </w:tcPr>
        <w:p w14:paraId="108D4A10" w14:textId="46A7BC27" w:rsidR="00FD43A7" w:rsidRPr="005F16ED" w:rsidRDefault="00FD43A7" w:rsidP="00A87FB2">
          <w:pPr>
            <w:pStyle w:val="Footer"/>
            <w:tabs>
              <w:tab w:val="clear" w:pos="4320"/>
              <w:tab w:val="clear" w:pos="8640"/>
            </w:tabs>
            <w:rPr>
              <w:sz w:val="16"/>
              <w:szCs w:val="16"/>
            </w:rPr>
          </w:pPr>
          <w:r w:rsidRPr="005F16ED">
            <w:rPr>
              <w:sz w:val="16"/>
              <w:szCs w:val="16"/>
            </w:rPr>
            <w:fldChar w:fldCharType="begin"/>
          </w:r>
          <w:r w:rsidRPr="005F16ED">
            <w:rPr>
              <w:sz w:val="16"/>
              <w:szCs w:val="16"/>
            </w:rPr>
            <w:instrText xml:space="preserve"> FILENAME  \* Upper \p  \* MERGEFORMAT </w:instrText>
          </w:r>
          <w:r w:rsidRPr="005F16ED">
            <w:rPr>
              <w:sz w:val="16"/>
              <w:szCs w:val="16"/>
            </w:rPr>
            <w:fldChar w:fldCharType="separate"/>
          </w:r>
          <w:r w:rsidR="00851D45">
            <w:rPr>
              <w:noProof/>
              <w:sz w:val="16"/>
              <w:szCs w:val="16"/>
            </w:rPr>
            <w:t>S:\MASTERS\DIV-01\011100MT.DOCX</w:t>
          </w:r>
          <w:r w:rsidRPr="005F16ED">
            <w:rPr>
              <w:sz w:val="16"/>
              <w:szCs w:val="16"/>
            </w:rPr>
            <w:fldChar w:fldCharType="end"/>
          </w:r>
        </w:p>
      </w:tc>
      <w:tc>
        <w:tcPr>
          <w:tcW w:w="4338" w:type="dxa"/>
        </w:tcPr>
        <w:p w14:paraId="175EF96B" w14:textId="77777777" w:rsidR="00FD43A7" w:rsidRPr="00A87FB2" w:rsidRDefault="00FD43A7" w:rsidP="00A87FB2">
          <w:pPr>
            <w:pStyle w:val="Footer"/>
            <w:tabs>
              <w:tab w:val="clear" w:pos="4320"/>
              <w:tab w:val="clear" w:pos="8640"/>
            </w:tabs>
            <w:jc w:val="right"/>
            <w:rPr>
              <w:sz w:val="18"/>
              <w:szCs w:val="18"/>
            </w:rPr>
          </w:pPr>
          <w:r w:rsidRPr="00A87FB2">
            <w:rPr>
              <w:sz w:val="18"/>
              <w:szCs w:val="18"/>
            </w:rPr>
            <w:t>011100-</w:t>
          </w:r>
          <w:r w:rsidRPr="00A87FB2">
            <w:rPr>
              <w:rStyle w:val="PageNumber"/>
              <w:sz w:val="18"/>
              <w:szCs w:val="18"/>
            </w:rPr>
            <w:fldChar w:fldCharType="begin"/>
          </w:r>
          <w:r w:rsidRPr="00A87FB2">
            <w:rPr>
              <w:rStyle w:val="PageNumber"/>
              <w:sz w:val="18"/>
              <w:szCs w:val="18"/>
            </w:rPr>
            <w:instrText xml:space="preserve"> PAGE </w:instrText>
          </w:r>
          <w:r w:rsidRPr="00A87FB2">
            <w:rPr>
              <w:rStyle w:val="PageNumber"/>
              <w:sz w:val="18"/>
              <w:szCs w:val="18"/>
            </w:rPr>
            <w:fldChar w:fldCharType="separate"/>
          </w:r>
          <w:r w:rsidR="00E84F31">
            <w:rPr>
              <w:rStyle w:val="PageNumber"/>
              <w:noProof/>
              <w:sz w:val="18"/>
              <w:szCs w:val="18"/>
            </w:rPr>
            <w:t>11</w:t>
          </w:r>
          <w:r w:rsidRPr="00A87FB2">
            <w:rPr>
              <w:rStyle w:val="PageNumber"/>
              <w:sz w:val="18"/>
              <w:szCs w:val="18"/>
            </w:rPr>
            <w:fldChar w:fldCharType="end"/>
          </w:r>
        </w:p>
      </w:tc>
    </w:tr>
  </w:tbl>
  <w:p w14:paraId="784324B5" w14:textId="77777777" w:rsidR="00FD43A7" w:rsidRPr="004A6838" w:rsidRDefault="00FD43A7" w:rsidP="00902E6E">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1D7F" w14:textId="77777777" w:rsidR="00352171" w:rsidRDefault="00352171">
      <w:r>
        <w:separator/>
      </w:r>
    </w:p>
  </w:footnote>
  <w:footnote w:type="continuationSeparator" w:id="0">
    <w:p w14:paraId="5EBC2E0A" w14:textId="77777777" w:rsidR="00352171" w:rsidRDefault="00352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3582C20"/>
    <w:multiLevelType w:val="multilevel"/>
    <w:tmpl w:val="EBF6FBE0"/>
    <w:lvl w:ilvl="0">
      <w:start w:val="1"/>
      <w:numFmt w:val="decimal"/>
      <w:pStyle w:val="Heading"/>
      <w:lvlText w:val="1.%1"/>
      <w:lvlJc w:val="left"/>
      <w:pPr>
        <w:tabs>
          <w:tab w:val="num" w:pos="907"/>
        </w:tabs>
        <w:ind w:left="907" w:hanging="9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72933F64"/>
    <w:multiLevelType w:val="hybridMultilevel"/>
    <w:tmpl w:val="2CAC3BD0"/>
    <w:name w:val="MASTERSPEC4"/>
    <w:lvl w:ilvl="0" w:tplc="53BCBE48">
      <w:start w:val="1"/>
      <w:numFmt w:val="decimal"/>
      <w:lvlText w:val="%1"/>
      <w:lvlJc w:val="left"/>
      <w:pPr>
        <w:tabs>
          <w:tab w:val="num" w:pos="864"/>
        </w:tabs>
        <w:ind w:left="864"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9650092">
    <w:abstractNumId w:val="0"/>
  </w:num>
  <w:num w:numId="2" w16cid:durableId="1437560788">
    <w:abstractNumId w:val="1"/>
  </w:num>
  <w:num w:numId="3" w16cid:durableId="854541448">
    <w:abstractNumId w:val="2"/>
  </w:num>
  <w:num w:numId="4" w16cid:durableId="1210754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1726315">
    <w:abstractNumId w:val="0"/>
  </w:num>
  <w:num w:numId="6" w16cid:durableId="963926796">
    <w:abstractNumId w:val="0"/>
  </w:num>
  <w:num w:numId="7" w16cid:durableId="1757826680">
    <w:abstractNumId w:val="0"/>
  </w:num>
  <w:num w:numId="8" w16cid:durableId="1112480217">
    <w:abstractNumId w:val="0"/>
  </w:num>
  <w:num w:numId="9" w16cid:durableId="1762870050">
    <w:abstractNumId w:val="0"/>
  </w:num>
  <w:num w:numId="10" w16cid:durableId="1901942236">
    <w:abstractNumId w:val="0"/>
  </w:num>
  <w:num w:numId="11" w16cid:durableId="9524463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5841"/>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IPltSel" w:val="0þ"/>
  </w:docVars>
  <w:rsids>
    <w:rsidRoot w:val="00F10B42"/>
    <w:rsid w:val="00002B46"/>
    <w:rsid w:val="00014BCD"/>
    <w:rsid w:val="00022D82"/>
    <w:rsid w:val="00032874"/>
    <w:rsid w:val="00036F5D"/>
    <w:rsid w:val="00042B2C"/>
    <w:rsid w:val="000455C6"/>
    <w:rsid w:val="00045D3C"/>
    <w:rsid w:val="0005566F"/>
    <w:rsid w:val="00055A35"/>
    <w:rsid w:val="00061C7E"/>
    <w:rsid w:val="000627C0"/>
    <w:rsid w:val="00062E21"/>
    <w:rsid w:val="000652C6"/>
    <w:rsid w:val="0008273B"/>
    <w:rsid w:val="000868E8"/>
    <w:rsid w:val="00086C14"/>
    <w:rsid w:val="000961AD"/>
    <w:rsid w:val="000A25A9"/>
    <w:rsid w:val="000A2849"/>
    <w:rsid w:val="000A2D85"/>
    <w:rsid w:val="000A4316"/>
    <w:rsid w:val="000A4FBF"/>
    <w:rsid w:val="000B4CC0"/>
    <w:rsid w:val="000C7EB5"/>
    <w:rsid w:val="000D3A1F"/>
    <w:rsid w:val="000D7F34"/>
    <w:rsid w:val="000E0E02"/>
    <w:rsid w:val="000E40B3"/>
    <w:rsid w:val="000E7337"/>
    <w:rsid w:val="000E7D2C"/>
    <w:rsid w:val="000F37AA"/>
    <w:rsid w:val="000F6989"/>
    <w:rsid w:val="00122AAE"/>
    <w:rsid w:val="00127379"/>
    <w:rsid w:val="001515F7"/>
    <w:rsid w:val="001549A1"/>
    <w:rsid w:val="001558AD"/>
    <w:rsid w:val="00156A24"/>
    <w:rsid w:val="001614CA"/>
    <w:rsid w:val="00172BE2"/>
    <w:rsid w:val="00187B43"/>
    <w:rsid w:val="001932E2"/>
    <w:rsid w:val="001A3692"/>
    <w:rsid w:val="001B6167"/>
    <w:rsid w:val="001B70C6"/>
    <w:rsid w:val="001C0679"/>
    <w:rsid w:val="001C0AFB"/>
    <w:rsid w:val="001C7A3C"/>
    <w:rsid w:val="001D3213"/>
    <w:rsid w:val="001D33FD"/>
    <w:rsid w:val="001D70EC"/>
    <w:rsid w:val="001E162F"/>
    <w:rsid w:val="001E4838"/>
    <w:rsid w:val="001E73F7"/>
    <w:rsid w:val="002011AC"/>
    <w:rsid w:val="002017F0"/>
    <w:rsid w:val="00201E8C"/>
    <w:rsid w:val="0021182B"/>
    <w:rsid w:val="00222594"/>
    <w:rsid w:val="00223E93"/>
    <w:rsid w:val="00225A48"/>
    <w:rsid w:val="00233BF9"/>
    <w:rsid w:val="0024368B"/>
    <w:rsid w:val="00252FDF"/>
    <w:rsid w:val="0026646A"/>
    <w:rsid w:val="00267236"/>
    <w:rsid w:val="00271834"/>
    <w:rsid w:val="00271C9C"/>
    <w:rsid w:val="00273C8A"/>
    <w:rsid w:val="00282D71"/>
    <w:rsid w:val="00285763"/>
    <w:rsid w:val="00285C61"/>
    <w:rsid w:val="00286777"/>
    <w:rsid w:val="002917CB"/>
    <w:rsid w:val="002942B4"/>
    <w:rsid w:val="002A021A"/>
    <w:rsid w:val="002D77FE"/>
    <w:rsid w:val="002E5CB1"/>
    <w:rsid w:val="002F130C"/>
    <w:rsid w:val="002F17F0"/>
    <w:rsid w:val="00306F38"/>
    <w:rsid w:val="0031105A"/>
    <w:rsid w:val="00314BF1"/>
    <w:rsid w:val="00316986"/>
    <w:rsid w:val="003242A0"/>
    <w:rsid w:val="003258B5"/>
    <w:rsid w:val="003338F1"/>
    <w:rsid w:val="00335409"/>
    <w:rsid w:val="00336D8D"/>
    <w:rsid w:val="00340684"/>
    <w:rsid w:val="003413DE"/>
    <w:rsid w:val="00352171"/>
    <w:rsid w:val="00361901"/>
    <w:rsid w:val="00363193"/>
    <w:rsid w:val="003656DC"/>
    <w:rsid w:val="00366A90"/>
    <w:rsid w:val="00370FDD"/>
    <w:rsid w:val="00376A52"/>
    <w:rsid w:val="003770E7"/>
    <w:rsid w:val="003817FB"/>
    <w:rsid w:val="003834C1"/>
    <w:rsid w:val="0039012B"/>
    <w:rsid w:val="00395061"/>
    <w:rsid w:val="0039511B"/>
    <w:rsid w:val="003A36CC"/>
    <w:rsid w:val="003A3B39"/>
    <w:rsid w:val="003B1A6A"/>
    <w:rsid w:val="003B46DB"/>
    <w:rsid w:val="003C0D37"/>
    <w:rsid w:val="003D17CD"/>
    <w:rsid w:val="003E366C"/>
    <w:rsid w:val="003F03A1"/>
    <w:rsid w:val="003F4835"/>
    <w:rsid w:val="004007C1"/>
    <w:rsid w:val="004207AB"/>
    <w:rsid w:val="00423E68"/>
    <w:rsid w:val="00425F7C"/>
    <w:rsid w:val="00427695"/>
    <w:rsid w:val="00432F83"/>
    <w:rsid w:val="00443120"/>
    <w:rsid w:val="004467EA"/>
    <w:rsid w:val="00452ACE"/>
    <w:rsid w:val="00461594"/>
    <w:rsid w:val="00476C9E"/>
    <w:rsid w:val="00480E6E"/>
    <w:rsid w:val="004812DB"/>
    <w:rsid w:val="00486A64"/>
    <w:rsid w:val="004940F1"/>
    <w:rsid w:val="00494D76"/>
    <w:rsid w:val="004A3893"/>
    <w:rsid w:val="004A47EA"/>
    <w:rsid w:val="004A6838"/>
    <w:rsid w:val="004B2EBA"/>
    <w:rsid w:val="004C6900"/>
    <w:rsid w:val="004C6D34"/>
    <w:rsid w:val="004D5F6A"/>
    <w:rsid w:val="004E137B"/>
    <w:rsid w:val="004F01A9"/>
    <w:rsid w:val="004F3684"/>
    <w:rsid w:val="00507C3A"/>
    <w:rsid w:val="00513F36"/>
    <w:rsid w:val="00517FC8"/>
    <w:rsid w:val="00522052"/>
    <w:rsid w:val="00523F0F"/>
    <w:rsid w:val="00531FE1"/>
    <w:rsid w:val="00533F96"/>
    <w:rsid w:val="0053502D"/>
    <w:rsid w:val="0055529D"/>
    <w:rsid w:val="00564BEB"/>
    <w:rsid w:val="00565CF4"/>
    <w:rsid w:val="00580538"/>
    <w:rsid w:val="0058588B"/>
    <w:rsid w:val="005859F1"/>
    <w:rsid w:val="00597751"/>
    <w:rsid w:val="005A4E0A"/>
    <w:rsid w:val="005A5C49"/>
    <w:rsid w:val="005B055D"/>
    <w:rsid w:val="005B1036"/>
    <w:rsid w:val="005B3564"/>
    <w:rsid w:val="005C2CF2"/>
    <w:rsid w:val="005C5403"/>
    <w:rsid w:val="005C67C0"/>
    <w:rsid w:val="005D128E"/>
    <w:rsid w:val="005E0835"/>
    <w:rsid w:val="005E457B"/>
    <w:rsid w:val="005E5687"/>
    <w:rsid w:val="005F16ED"/>
    <w:rsid w:val="005F2E56"/>
    <w:rsid w:val="00602924"/>
    <w:rsid w:val="00603A82"/>
    <w:rsid w:val="00617963"/>
    <w:rsid w:val="006179BB"/>
    <w:rsid w:val="006262A3"/>
    <w:rsid w:val="006379EA"/>
    <w:rsid w:val="00646468"/>
    <w:rsid w:val="00646BE8"/>
    <w:rsid w:val="0065134D"/>
    <w:rsid w:val="00656578"/>
    <w:rsid w:val="00676CF8"/>
    <w:rsid w:val="006856F7"/>
    <w:rsid w:val="006904BD"/>
    <w:rsid w:val="00694F6B"/>
    <w:rsid w:val="006A20AB"/>
    <w:rsid w:val="006A427E"/>
    <w:rsid w:val="006A5C0D"/>
    <w:rsid w:val="006B2C4A"/>
    <w:rsid w:val="006B4A44"/>
    <w:rsid w:val="006C303C"/>
    <w:rsid w:val="006D2119"/>
    <w:rsid w:val="006E7B92"/>
    <w:rsid w:val="006F41DC"/>
    <w:rsid w:val="00710FAF"/>
    <w:rsid w:val="00714534"/>
    <w:rsid w:val="00720550"/>
    <w:rsid w:val="007206B4"/>
    <w:rsid w:val="00720C84"/>
    <w:rsid w:val="00736780"/>
    <w:rsid w:val="00741603"/>
    <w:rsid w:val="007437C1"/>
    <w:rsid w:val="00746221"/>
    <w:rsid w:val="00751F80"/>
    <w:rsid w:val="0075299A"/>
    <w:rsid w:val="00752C6B"/>
    <w:rsid w:val="00755890"/>
    <w:rsid w:val="00760C56"/>
    <w:rsid w:val="007623D0"/>
    <w:rsid w:val="00762B61"/>
    <w:rsid w:val="00794BF0"/>
    <w:rsid w:val="007A14D9"/>
    <w:rsid w:val="007A5223"/>
    <w:rsid w:val="007A7F70"/>
    <w:rsid w:val="007B546F"/>
    <w:rsid w:val="007C2207"/>
    <w:rsid w:val="007E5F13"/>
    <w:rsid w:val="007F0EFE"/>
    <w:rsid w:val="007F3A96"/>
    <w:rsid w:val="008030BC"/>
    <w:rsid w:val="0081038D"/>
    <w:rsid w:val="00812D3F"/>
    <w:rsid w:val="008170D0"/>
    <w:rsid w:val="00830156"/>
    <w:rsid w:val="0083202D"/>
    <w:rsid w:val="00832204"/>
    <w:rsid w:val="008323FF"/>
    <w:rsid w:val="00835DB5"/>
    <w:rsid w:val="00836188"/>
    <w:rsid w:val="00840C9D"/>
    <w:rsid w:val="00851D45"/>
    <w:rsid w:val="00852B49"/>
    <w:rsid w:val="00862891"/>
    <w:rsid w:val="008701E6"/>
    <w:rsid w:val="00873643"/>
    <w:rsid w:val="00873709"/>
    <w:rsid w:val="008806D2"/>
    <w:rsid w:val="008A2D16"/>
    <w:rsid w:val="008B16AE"/>
    <w:rsid w:val="008C5CF6"/>
    <w:rsid w:val="008D3588"/>
    <w:rsid w:val="008D437A"/>
    <w:rsid w:val="008D5015"/>
    <w:rsid w:val="008E0D58"/>
    <w:rsid w:val="008E4CCB"/>
    <w:rsid w:val="008F339E"/>
    <w:rsid w:val="00902E6E"/>
    <w:rsid w:val="009035AE"/>
    <w:rsid w:val="00903FA2"/>
    <w:rsid w:val="00922548"/>
    <w:rsid w:val="00931456"/>
    <w:rsid w:val="00934D9B"/>
    <w:rsid w:val="00937236"/>
    <w:rsid w:val="00944BA7"/>
    <w:rsid w:val="00944BAF"/>
    <w:rsid w:val="00955332"/>
    <w:rsid w:val="00956405"/>
    <w:rsid w:val="00967EFE"/>
    <w:rsid w:val="0097238D"/>
    <w:rsid w:val="00975C8B"/>
    <w:rsid w:val="00977EE4"/>
    <w:rsid w:val="00982489"/>
    <w:rsid w:val="009B332F"/>
    <w:rsid w:val="009C6FA3"/>
    <w:rsid w:val="009E4813"/>
    <w:rsid w:val="00A04EE0"/>
    <w:rsid w:val="00A05046"/>
    <w:rsid w:val="00A051E5"/>
    <w:rsid w:val="00A06F8B"/>
    <w:rsid w:val="00A229EE"/>
    <w:rsid w:val="00A2321C"/>
    <w:rsid w:val="00A2662E"/>
    <w:rsid w:val="00A44AED"/>
    <w:rsid w:val="00A53633"/>
    <w:rsid w:val="00A600DF"/>
    <w:rsid w:val="00A705EF"/>
    <w:rsid w:val="00A73A8C"/>
    <w:rsid w:val="00A76F23"/>
    <w:rsid w:val="00A77BE9"/>
    <w:rsid w:val="00A82BF9"/>
    <w:rsid w:val="00A87FB2"/>
    <w:rsid w:val="00A94E89"/>
    <w:rsid w:val="00AB1B22"/>
    <w:rsid w:val="00AB65E0"/>
    <w:rsid w:val="00AB6F5A"/>
    <w:rsid w:val="00AC3664"/>
    <w:rsid w:val="00AC55FD"/>
    <w:rsid w:val="00AC6008"/>
    <w:rsid w:val="00AD1A0B"/>
    <w:rsid w:val="00AD4F2D"/>
    <w:rsid w:val="00AF1948"/>
    <w:rsid w:val="00B00E10"/>
    <w:rsid w:val="00B057CB"/>
    <w:rsid w:val="00B0632F"/>
    <w:rsid w:val="00B07EFF"/>
    <w:rsid w:val="00B1128C"/>
    <w:rsid w:val="00B13645"/>
    <w:rsid w:val="00B325E5"/>
    <w:rsid w:val="00B353F7"/>
    <w:rsid w:val="00B5671B"/>
    <w:rsid w:val="00B713BB"/>
    <w:rsid w:val="00B7231F"/>
    <w:rsid w:val="00B74ECF"/>
    <w:rsid w:val="00B86C6C"/>
    <w:rsid w:val="00B9580A"/>
    <w:rsid w:val="00B97EFD"/>
    <w:rsid w:val="00BB2E58"/>
    <w:rsid w:val="00BB3224"/>
    <w:rsid w:val="00BB4CA2"/>
    <w:rsid w:val="00BC6F3B"/>
    <w:rsid w:val="00BD6C42"/>
    <w:rsid w:val="00BD725D"/>
    <w:rsid w:val="00BE4009"/>
    <w:rsid w:val="00BE49D2"/>
    <w:rsid w:val="00BE59A7"/>
    <w:rsid w:val="00BE61F7"/>
    <w:rsid w:val="00BF13FF"/>
    <w:rsid w:val="00C01FF6"/>
    <w:rsid w:val="00C05603"/>
    <w:rsid w:val="00C12138"/>
    <w:rsid w:val="00C16D85"/>
    <w:rsid w:val="00C17C48"/>
    <w:rsid w:val="00C2488C"/>
    <w:rsid w:val="00C254B1"/>
    <w:rsid w:val="00C27420"/>
    <w:rsid w:val="00C361BD"/>
    <w:rsid w:val="00C420C2"/>
    <w:rsid w:val="00C473EF"/>
    <w:rsid w:val="00C51A1A"/>
    <w:rsid w:val="00C536B8"/>
    <w:rsid w:val="00C555DC"/>
    <w:rsid w:val="00C622E0"/>
    <w:rsid w:val="00C62B0A"/>
    <w:rsid w:val="00C63B01"/>
    <w:rsid w:val="00C63B71"/>
    <w:rsid w:val="00C64193"/>
    <w:rsid w:val="00C66E77"/>
    <w:rsid w:val="00C733BA"/>
    <w:rsid w:val="00C76F52"/>
    <w:rsid w:val="00C80255"/>
    <w:rsid w:val="00C808FC"/>
    <w:rsid w:val="00C82EF4"/>
    <w:rsid w:val="00C852F4"/>
    <w:rsid w:val="00C87C05"/>
    <w:rsid w:val="00C92732"/>
    <w:rsid w:val="00C93D37"/>
    <w:rsid w:val="00C955DC"/>
    <w:rsid w:val="00CA0F92"/>
    <w:rsid w:val="00CA177C"/>
    <w:rsid w:val="00CA47CF"/>
    <w:rsid w:val="00CB4948"/>
    <w:rsid w:val="00CB4CBC"/>
    <w:rsid w:val="00CB7403"/>
    <w:rsid w:val="00CB7822"/>
    <w:rsid w:val="00CC150C"/>
    <w:rsid w:val="00CC71A6"/>
    <w:rsid w:val="00CD13E4"/>
    <w:rsid w:val="00CD57C4"/>
    <w:rsid w:val="00CE130C"/>
    <w:rsid w:val="00CE2F18"/>
    <w:rsid w:val="00CE499C"/>
    <w:rsid w:val="00CE531F"/>
    <w:rsid w:val="00CF15E0"/>
    <w:rsid w:val="00CF59B6"/>
    <w:rsid w:val="00D04582"/>
    <w:rsid w:val="00D13F29"/>
    <w:rsid w:val="00D15E80"/>
    <w:rsid w:val="00D2103B"/>
    <w:rsid w:val="00D27FEE"/>
    <w:rsid w:val="00D46A64"/>
    <w:rsid w:val="00D51FBA"/>
    <w:rsid w:val="00D5665A"/>
    <w:rsid w:val="00D579BB"/>
    <w:rsid w:val="00D57D6E"/>
    <w:rsid w:val="00D617D9"/>
    <w:rsid w:val="00D673F7"/>
    <w:rsid w:val="00D67483"/>
    <w:rsid w:val="00D75552"/>
    <w:rsid w:val="00D758D2"/>
    <w:rsid w:val="00D938DB"/>
    <w:rsid w:val="00DA19C5"/>
    <w:rsid w:val="00DA6F2F"/>
    <w:rsid w:val="00DB3D8B"/>
    <w:rsid w:val="00DB43CF"/>
    <w:rsid w:val="00DB706F"/>
    <w:rsid w:val="00DC337D"/>
    <w:rsid w:val="00DC682B"/>
    <w:rsid w:val="00DE780C"/>
    <w:rsid w:val="00DF638B"/>
    <w:rsid w:val="00E16A2B"/>
    <w:rsid w:val="00E229B9"/>
    <w:rsid w:val="00E22F38"/>
    <w:rsid w:val="00E2426E"/>
    <w:rsid w:val="00E3664F"/>
    <w:rsid w:val="00E37A2D"/>
    <w:rsid w:val="00E42C3F"/>
    <w:rsid w:val="00E50FFE"/>
    <w:rsid w:val="00E64D9C"/>
    <w:rsid w:val="00E775D0"/>
    <w:rsid w:val="00E821B9"/>
    <w:rsid w:val="00E82F6C"/>
    <w:rsid w:val="00E84F31"/>
    <w:rsid w:val="00E93BC5"/>
    <w:rsid w:val="00E95C06"/>
    <w:rsid w:val="00E968EF"/>
    <w:rsid w:val="00EA0FE0"/>
    <w:rsid w:val="00EA6DDD"/>
    <w:rsid w:val="00EB0DC1"/>
    <w:rsid w:val="00EB162E"/>
    <w:rsid w:val="00EB319D"/>
    <w:rsid w:val="00EB54FF"/>
    <w:rsid w:val="00EB7A5F"/>
    <w:rsid w:val="00EC12BD"/>
    <w:rsid w:val="00EC2149"/>
    <w:rsid w:val="00EC427C"/>
    <w:rsid w:val="00EC692C"/>
    <w:rsid w:val="00ED3728"/>
    <w:rsid w:val="00EE14EF"/>
    <w:rsid w:val="00F01DE3"/>
    <w:rsid w:val="00F03E38"/>
    <w:rsid w:val="00F07C79"/>
    <w:rsid w:val="00F10B42"/>
    <w:rsid w:val="00F140A3"/>
    <w:rsid w:val="00F34B6E"/>
    <w:rsid w:val="00F43475"/>
    <w:rsid w:val="00F47D12"/>
    <w:rsid w:val="00F52C96"/>
    <w:rsid w:val="00F64D4C"/>
    <w:rsid w:val="00F6617F"/>
    <w:rsid w:val="00F66731"/>
    <w:rsid w:val="00F758C1"/>
    <w:rsid w:val="00F758C3"/>
    <w:rsid w:val="00F75BD1"/>
    <w:rsid w:val="00F8624A"/>
    <w:rsid w:val="00F90292"/>
    <w:rsid w:val="00F96D42"/>
    <w:rsid w:val="00FB53B7"/>
    <w:rsid w:val="00FC5825"/>
    <w:rsid w:val="00FD1524"/>
    <w:rsid w:val="00FD3AD1"/>
    <w:rsid w:val="00FD3D95"/>
    <w:rsid w:val="00FD43A7"/>
    <w:rsid w:val="00FF05CF"/>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C077F0A"/>
  <w15:chartTrackingRefBased/>
  <w15:docId w15:val="{C6E7F17F-44AE-4DE2-9A37-1268818E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D45"/>
    <w:rPr>
      <w:sz w:val="22"/>
    </w:rPr>
  </w:style>
  <w:style w:type="paragraph" w:styleId="Heading1">
    <w:name w:val="heading 1"/>
    <w:basedOn w:val="Normal"/>
    <w:next w:val="Normal"/>
    <w:link w:val="Heading1Char"/>
    <w:qFormat/>
    <w:rsid w:val="00E968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Heading1"/>
    <w:rsid w:val="00E968EF"/>
    <w:pPr>
      <w:suppressAutoHyphens/>
    </w:pPr>
    <w:rPr>
      <w:rFonts w:ascii="Times New Roman" w:hAnsi="Times New Roman"/>
      <w:color w:val="auto"/>
      <w:sz w:val="22"/>
    </w:r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D57D6E"/>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5D128E"/>
    <w:pPr>
      <w:tabs>
        <w:tab w:val="center" w:pos="4320"/>
        <w:tab w:val="right" w:pos="8640"/>
      </w:tabs>
    </w:pPr>
  </w:style>
  <w:style w:type="paragraph" w:styleId="Footer">
    <w:name w:val="footer"/>
    <w:basedOn w:val="Normal"/>
    <w:rsid w:val="005D128E"/>
    <w:pPr>
      <w:tabs>
        <w:tab w:val="center" w:pos="4320"/>
        <w:tab w:val="right" w:pos="8640"/>
      </w:tabs>
    </w:pPr>
  </w:style>
  <w:style w:type="table" w:styleId="TableGrid">
    <w:name w:val="Table Grid"/>
    <w:basedOn w:val="TableNormal"/>
    <w:rsid w:val="004B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A6838"/>
  </w:style>
  <w:style w:type="paragraph" w:customStyle="1" w:styleId="Heading">
    <w:name w:val="Heading"/>
    <w:basedOn w:val="Normal"/>
    <w:autoRedefine/>
    <w:rsid w:val="000D7F34"/>
    <w:pPr>
      <w:keepNext/>
      <w:keepLines/>
      <w:widowControl w:val="0"/>
      <w:numPr>
        <w:numId w:val="2"/>
      </w:numPr>
      <w:overflowPunct w:val="0"/>
      <w:adjustRightInd w:val="0"/>
      <w:spacing w:before="120" w:after="180"/>
    </w:pPr>
    <w:rPr>
      <w:rFonts w:ascii="CG Times" w:hAnsi="CG Times" w:cs="CG Times"/>
      <w:caps/>
      <w:kern w:val="28"/>
      <w:sz w:val="20"/>
    </w:rPr>
  </w:style>
  <w:style w:type="paragraph" w:styleId="DocumentMap">
    <w:name w:val="Document Map"/>
    <w:basedOn w:val="Normal"/>
    <w:link w:val="DocumentMapChar"/>
    <w:rsid w:val="00A06F8B"/>
    <w:rPr>
      <w:rFonts w:ascii="Tahoma" w:hAnsi="Tahoma" w:cs="Tahoma"/>
      <w:sz w:val="16"/>
      <w:szCs w:val="16"/>
    </w:rPr>
  </w:style>
  <w:style w:type="character" w:customStyle="1" w:styleId="DocumentMapChar">
    <w:name w:val="Document Map Char"/>
    <w:link w:val="DocumentMap"/>
    <w:rsid w:val="00A06F8B"/>
    <w:rPr>
      <w:rFonts w:ascii="Tahoma" w:hAnsi="Tahoma" w:cs="Tahoma"/>
      <w:sz w:val="16"/>
      <w:szCs w:val="16"/>
    </w:rPr>
  </w:style>
  <w:style w:type="paragraph" w:styleId="BalloonText">
    <w:name w:val="Balloon Text"/>
    <w:basedOn w:val="Normal"/>
    <w:link w:val="BalloonTextChar"/>
    <w:rsid w:val="00286777"/>
    <w:rPr>
      <w:rFonts w:ascii="Tahoma" w:hAnsi="Tahoma" w:cs="Tahoma"/>
      <w:sz w:val="16"/>
      <w:szCs w:val="16"/>
    </w:rPr>
  </w:style>
  <w:style w:type="character" w:customStyle="1" w:styleId="BalloonTextChar">
    <w:name w:val="Balloon Text Char"/>
    <w:link w:val="BalloonText"/>
    <w:rsid w:val="00286777"/>
    <w:rPr>
      <w:rFonts w:ascii="Tahoma" w:hAnsi="Tahoma" w:cs="Tahoma"/>
      <w:sz w:val="16"/>
      <w:szCs w:val="16"/>
    </w:rPr>
  </w:style>
  <w:style w:type="character" w:styleId="CommentReference">
    <w:name w:val="annotation reference"/>
    <w:rsid w:val="00617963"/>
    <w:rPr>
      <w:sz w:val="16"/>
      <w:szCs w:val="16"/>
    </w:rPr>
  </w:style>
  <w:style w:type="paragraph" w:styleId="CommentText">
    <w:name w:val="annotation text"/>
    <w:basedOn w:val="Normal"/>
    <w:link w:val="CommentTextChar"/>
    <w:rsid w:val="00617963"/>
    <w:rPr>
      <w:sz w:val="20"/>
    </w:rPr>
  </w:style>
  <w:style w:type="character" w:customStyle="1" w:styleId="CommentTextChar">
    <w:name w:val="Comment Text Char"/>
    <w:basedOn w:val="DefaultParagraphFont"/>
    <w:link w:val="CommentText"/>
    <w:rsid w:val="00617963"/>
  </w:style>
  <w:style w:type="paragraph" w:styleId="CommentSubject">
    <w:name w:val="annotation subject"/>
    <w:basedOn w:val="CommentText"/>
    <w:next w:val="CommentText"/>
    <w:link w:val="CommentSubjectChar"/>
    <w:rsid w:val="00617963"/>
    <w:rPr>
      <w:b/>
      <w:bCs/>
    </w:rPr>
  </w:style>
  <w:style w:type="character" w:customStyle="1" w:styleId="CommentSubjectChar">
    <w:name w:val="Comment Subject Char"/>
    <w:link w:val="CommentSubject"/>
    <w:rsid w:val="00617963"/>
    <w:rPr>
      <w:b/>
      <w:bCs/>
    </w:rPr>
  </w:style>
  <w:style w:type="paragraph" w:styleId="Revision">
    <w:name w:val="Revision"/>
    <w:hidden/>
    <w:uiPriority w:val="99"/>
    <w:semiHidden/>
    <w:rsid w:val="00617963"/>
    <w:rPr>
      <w:sz w:val="22"/>
    </w:rPr>
  </w:style>
  <w:style w:type="character" w:customStyle="1" w:styleId="Heading1Char">
    <w:name w:val="Heading 1 Char"/>
    <w:basedOn w:val="DefaultParagraphFont"/>
    <w:link w:val="Heading1"/>
    <w:rsid w:val="00E968EF"/>
    <w:rPr>
      <w:rFonts w:asciiTheme="majorHAnsi" w:eastAsiaTheme="majorEastAsia" w:hAnsiTheme="majorHAnsi" w:cstheme="majorBidi"/>
      <w:color w:val="2F5496" w:themeColor="accent1" w:themeShade="BF"/>
      <w:sz w:val="32"/>
      <w:szCs w:val="32"/>
    </w:rPr>
  </w:style>
  <w:style w:type="paragraph" w:customStyle="1" w:styleId="Default">
    <w:name w:val="Default"/>
    <w:rsid w:val="00BB322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D1D2CBB-45AB-4C94-AB80-9A014E752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65A8-E4DA-4F12-8969-40A77D7D3A24}">
  <ds:schemaRefs>
    <ds:schemaRef ds:uri="http://schemas.openxmlformats.org/officeDocument/2006/bibliography"/>
  </ds:schemaRefs>
</ds:datastoreItem>
</file>

<file path=customXml/itemProps3.xml><?xml version="1.0" encoding="utf-8"?>
<ds:datastoreItem xmlns:ds="http://schemas.openxmlformats.org/officeDocument/2006/customXml" ds:itemID="{BE169EA4-63C3-45C1-B99C-6DC6B5966DE8}">
  <ds:schemaRefs>
    <ds:schemaRef ds:uri="http://schemas.microsoft.com/office/2006/metadata/properties"/>
    <ds:schemaRef ds:uri="60b14889-c8a1-446f-bcfb-aa0d4f3cb4b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605068E6-2475-454E-91C8-BFADEAC99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3651</Words>
  <Characters>19555</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SECTION 01110 - SUMMARY OF WORK</vt:lpstr>
    </vt:vector>
  </TitlesOfParts>
  <Company>Port of Portland</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01110 - SUMMARY OF WORK</dc:title>
  <dc:subject>01110, Summary of Work</dc:subject>
  <dc:creator>Port of Portland</dc:creator>
  <cp:keywords/>
  <cp:lastModifiedBy>Doherty, Colin</cp:lastModifiedBy>
  <cp:revision>7</cp:revision>
  <cp:lastPrinted>2019-05-21T19:47:00Z</cp:lastPrinted>
  <dcterms:created xsi:type="dcterms:W3CDTF">2020-06-25T18:42:00Z</dcterms:created>
  <dcterms:modified xsi:type="dcterms:W3CDTF">2024-07-11T19:46:00Z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