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7B57" w14:textId="7A1A1525" w:rsidR="00FA7338" w:rsidRDefault="00FA7338" w:rsidP="00FA7338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This master should be used by designers working on Port of Portland construction projects.  </w:t>
      </w:r>
      <w:r w:rsidR="00D81692">
        <w:rPr>
          <w:sz w:val="18"/>
          <w:szCs w:val="18"/>
        </w:rPr>
        <w:t>Do not alter language unless approved by Port Environmental Affairs.</w:t>
      </w:r>
    </w:p>
    <w:p w14:paraId="37980C73" w14:textId="77777777" w:rsidR="00FA7338" w:rsidRDefault="00FA7338" w:rsidP="00FA7338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14:paraId="53337E96" w14:textId="103F0205" w:rsidR="00FA7338" w:rsidRPr="00FA7338" w:rsidRDefault="004F4A83" w:rsidP="00FA7338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Use only</w:t>
      </w:r>
      <w:r w:rsidR="00FA7338" w:rsidRPr="00FA7338">
        <w:rPr>
          <w:sz w:val="18"/>
          <w:szCs w:val="18"/>
        </w:rPr>
        <w:t xml:space="preserve"> for </w:t>
      </w:r>
      <w:r w:rsidR="000A3E2A" w:rsidRPr="00FA7338">
        <w:rPr>
          <w:sz w:val="18"/>
          <w:szCs w:val="18"/>
        </w:rPr>
        <w:t xml:space="preserve">projects </w:t>
      </w:r>
      <w:r w:rsidR="000A3E2A">
        <w:rPr>
          <w:sz w:val="18"/>
          <w:szCs w:val="18"/>
        </w:rPr>
        <w:t>over</w:t>
      </w:r>
      <w:r w:rsidR="00FA7338" w:rsidRPr="00FA7338">
        <w:rPr>
          <w:sz w:val="18"/>
          <w:szCs w:val="18"/>
        </w:rPr>
        <w:t xml:space="preserve"> $</w:t>
      </w:r>
      <w:r w:rsidR="00B30CA2">
        <w:rPr>
          <w:sz w:val="18"/>
          <w:szCs w:val="18"/>
        </w:rPr>
        <w:t>2,0</w:t>
      </w:r>
      <w:r w:rsidR="00FA7338" w:rsidRPr="00FA7338">
        <w:rPr>
          <w:sz w:val="18"/>
          <w:szCs w:val="18"/>
        </w:rPr>
        <w:t>0</w:t>
      </w:r>
      <w:r w:rsidR="00FA7338">
        <w:rPr>
          <w:sz w:val="18"/>
          <w:szCs w:val="18"/>
        </w:rPr>
        <w:t>0</w:t>
      </w:r>
      <w:r w:rsidR="00FA7338" w:rsidRPr="00FA7338">
        <w:rPr>
          <w:sz w:val="18"/>
          <w:szCs w:val="18"/>
        </w:rPr>
        <w:t>,000.</w:t>
      </w:r>
    </w:p>
    <w:p w14:paraId="07B3DA4E" w14:textId="72E50F12" w:rsidR="00974EA6" w:rsidRPr="00974EA6" w:rsidRDefault="00974EA6" w:rsidP="00974EA6">
      <w:pPr>
        <w:pStyle w:val="SCT"/>
      </w:pPr>
      <w:r w:rsidRPr="00974EA6">
        <w:t xml:space="preserve">SECTION </w:t>
      </w:r>
      <w:r w:rsidR="00F470FC">
        <w:t>0157</w:t>
      </w:r>
      <w:r w:rsidR="00E72E82">
        <w:t>2</w:t>
      </w:r>
      <w:r w:rsidR="00F470FC">
        <w:t>0</w:t>
      </w:r>
      <w:r w:rsidR="00D63844">
        <w:t xml:space="preserve"> – </w:t>
      </w:r>
      <w:r w:rsidR="00F470FC">
        <w:t>CONSTRUCTION EQUIPMENT IDLING, FUEL, AND ENGINE STANDARDS</w:t>
      </w:r>
    </w:p>
    <w:p w14:paraId="07B3DA4F" w14:textId="77777777" w:rsidR="00974EA6" w:rsidRPr="00974EA6" w:rsidRDefault="00974EA6" w:rsidP="00974EA6">
      <w:pPr>
        <w:pStyle w:val="PRT"/>
        <w:keepNext/>
        <w:keepLines/>
      </w:pPr>
      <w:r w:rsidRPr="00974EA6">
        <w:t>GENERAL</w:t>
      </w:r>
    </w:p>
    <w:p w14:paraId="1F9D0192" w14:textId="114C736E" w:rsidR="000C7070" w:rsidRDefault="000C7070" w:rsidP="000C7070">
      <w:pPr>
        <w:pStyle w:val="ART"/>
        <w:ind w:hanging="6714"/>
      </w:pPr>
      <w:r>
        <w:t>DESCRIPTION</w:t>
      </w:r>
    </w:p>
    <w:p w14:paraId="07B3DA51" w14:textId="5337D2C0" w:rsidR="00974EA6" w:rsidRDefault="000A1853" w:rsidP="00974EA6">
      <w:pPr>
        <w:pStyle w:val="PR1"/>
      </w:pPr>
      <w:r>
        <w:t>This section describes construction equipment idling, fuel, and engine standards.</w:t>
      </w:r>
    </w:p>
    <w:p w14:paraId="500A04A6" w14:textId="06ED10D1" w:rsidR="006800F7" w:rsidRDefault="00916049" w:rsidP="005C155E">
      <w:pPr>
        <w:pStyle w:val="PR1"/>
      </w:pPr>
      <w:r>
        <w:t>A</w:t>
      </w:r>
      <w:r w:rsidRPr="00C66434">
        <w:t xml:space="preserve">t all times during performance of </w:t>
      </w:r>
      <w:r>
        <w:t>the work, t</w:t>
      </w:r>
      <w:r w:rsidR="000A1853" w:rsidRPr="00C66434">
        <w:t xml:space="preserve">he Contractor and its subcontractors shall minimize diesel emissions generated by </w:t>
      </w:r>
      <w:r>
        <w:t>applicable vehicles and equipment and otherwise comply with all</w:t>
      </w:r>
      <w:r w:rsidRPr="00916049">
        <w:t xml:space="preserve"> construction equipment idling, fuel, and engine standards </w:t>
      </w:r>
      <w:r>
        <w:t xml:space="preserve">set forth in </w:t>
      </w:r>
      <w:r w:rsidRPr="00C66434">
        <w:t xml:space="preserve">this </w:t>
      </w:r>
      <w:r>
        <w:t>s</w:t>
      </w:r>
      <w:r w:rsidRPr="00C66434">
        <w:t>ection</w:t>
      </w:r>
      <w:r w:rsidR="000A1853" w:rsidRPr="00C66434">
        <w:t xml:space="preserve">. </w:t>
      </w:r>
      <w:r w:rsidR="000A1853">
        <w:t xml:space="preserve"> </w:t>
      </w:r>
      <w:r w:rsidR="000A1853" w:rsidRPr="00C66434">
        <w:t>The requirements herein apply to all construction activity</w:t>
      </w:r>
      <w:r w:rsidR="005C155E">
        <w:t xml:space="preserve">, vehicles, </w:t>
      </w:r>
      <w:r w:rsidR="000A1853" w:rsidRPr="00C66434">
        <w:t xml:space="preserve">and </w:t>
      </w:r>
      <w:r w:rsidR="000A1853">
        <w:t>e</w:t>
      </w:r>
      <w:r w:rsidR="000A1853" w:rsidRPr="00C66434">
        <w:t>quipment, as specified</w:t>
      </w:r>
      <w:r w:rsidR="005C155E">
        <w:t xml:space="preserve">, unless waived in accordance with </w:t>
      </w:r>
      <w:r w:rsidR="00D81692">
        <w:t>Article</w:t>
      </w:r>
      <w:r w:rsidR="005C155E">
        <w:t xml:space="preserve"> 1.</w:t>
      </w:r>
      <w:r w:rsidR="00274C92">
        <w:t>8</w:t>
      </w:r>
      <w:r w:rsidR="005C155E">
        <w:t xml:space="preserve"> below</w:t>
      </w:r>
      <w:r w:rsidR="000A1853" w:rsidRPr="00C66434">
        <w:t xml:space="preserve">. </w:t>
      </w:r>
      <w:r w:rsidR="00BB7A36">
        <w:t xml:space="preserve"> </w:t>
      </w:r>
      <w:r w:rsidR="000A1853" w:rsidRPr="00C66434">
        <w:t xml:space="preserve">Marine propulsion engines and marine auxiliary engines are exempt from these requirements. </w:t>
      </w:r>
    </w:p>
    <w:p w14:paraId="15DF3785" w14:textId="32A54DCE" w:rsidR="000A1853" w:rsidRDefault="00E4408B" w:rsidP="00D81692">
      <w:pPr>
        <w:pStyle w:val="ART"/>
        <w:ind w:hanging="6714"/>
      </w:pPr>
      <w:r>
        <w:t>DEFINITIONS</w:t>
      </w:r>
    </w:p>
    <w:p w14:paraId="5FF9E82A" w14:textId="3C5C3A80" w:rsidR="00CD712A" w:rsidRDefault="00CD712A" w:rsidP="00CD712A">
      <w:pPr>
        <w:pStyle w:val="PR1"/>
      </w:pPr>
      <w:bookmarkStart w:id="0" w:name="_Hlk104904450"/>
      <w:r w:rsidRPr="00CD712A">
        <w:t>Alternative Fuel:</w:t>
      </w:r>
      <w:r>
        <w:t xml:space="preserve"> </w:t>
      </w:r>
      <w:r w:rsidRPr="00CD712A">
        <w:t xml:space="preserve"> A fuel other than petroleum diesel, including without limitation: compressed natural gas (</w:t>
      </w:r>
      <w:proofErr w:type="spellStart"/>
      <w:r w:rsidRPr="00CD712A">
        <w:t>CNG</w:t>
      </w:r>
      <w:proofErr w:type="spellEnd"/>
      <w:r w:rsidRPr="00CD712A">
        <w:t>); liquified petroleum gas (LPG); ethanol; electricity; and 99 percent or greater renewable diesel, biodiesel</w:t>
      </w:r>
      <w:r>
        <w:t>,</w:t>
      </w:r>
      <w:r w:rsidRPr="00CD712A">
        <w:t xml:space="preserve"> or renewable diesel/biodiesel blends.</w:t>
      </w:r>
      <w:r>
        <w:t xml:space="preserve"> </w:t>
      </w:r>
      <w:r w:rsidRPr="00CD712A">
        <w:t xml:space="preserve"> The </w:t>
      </w:r>
      <w:r>
        <w:t>Contractor shall obtain written approval from the Port for the</w:t>
      </w:r>
      <w:r w:rsidRPr="00CD712A">
        <w:t xml:space="preserve"> use of any alternative fuel not expressly described in this </w:t>
      </w:r>
      <w:r>
        <w:t>paragraph</w:t>
      </w:r>
      <w:r w:rsidRPr="00CD712A">
        <w:t>.</w:t>
      </w:r>
      <w:bookmarkEnd w:id="0"/>
    </w:p>
    <w:p w14:paraId="3CB07412" w14:textId="6CD9842B" w:rsidR="00E4408B" w:rsidRDefault="00DD258D" w:rsidP="00E4408B">
      <w:pPr>
        <w:pStyle w:val="PR1"/>
      </w:pPr>
      <w:r>
        <w:t xml:space="preserve">Applicable </w:t>
      </w:r>
      <w:r w:rsidR="000F0E08">
        <w:t xml:space="preserve">Vehicles and </w:t>
      </w:r>
      <w:r w:rsidR="00E4408B" w:rsidRPr="00E4408B">
        <w:t xml:space="preserve">Equipment:  </w:t>
      </w:r>
      <w:r w:rsidR="00E4408B" w:rsidRPr="006E5CA8">
        <w:t xml:space="preserve">Any </w:t>
      </w:r>
      <w:r w:rsidR="00861B49">
        <w:t xml:space="preserve">nonroad </w:t>
      </w:r>
      <w:r w:rsidR="00E4408B" w:rsidRPr="006E5CA8">
        <w:t xml:space="preserve">construction equipment </w:t>
      </w:r>
      <w:r w:rsidR="00861B49" w:rsidRPr="006E5CA8">
        <w:t>(</w:t>
      </w:r>
      <w:r w:rsidR="00861B49">
        <w:t>including but not limited to</w:t>
      </w:r>
      <w:r w:rsidR="00861B49" w:rsidRPr="006E5CA8">
        <w:t xml:space="preserve"> front-end loaders, excavators, tractors</w:t>
      </w:r>
      <w:r w:rsidR="00861B49">
        <w:t>, cranes, and generators</w:t>
      </w:r>
      <w:r w:rsidR="00861B49" w:rsidRPr="006E5CA8">
        <w:t xml:space="preserve">) </w:t>
      </w:r>
      <w:r w:rsidR="00E4408B" w:rsidRPr="006E5CA8">
        <w:t xml:space="preserve">with a diesel engine over 25 horsepower, and </w:t>
      </w:r>
      <w:r w:rsidR="00033AA9">
        <w:t xml:space="preserve">diesel-powered </w:t>
      </w:r>
      <w:r w:rsidR="00E4408B" w:rsidRPr="006E5CA8">
        <w:t>on</w:t>
      </w:r>
      <w:r w:rsidR="00F32B57">
        <w:t>-</w:t>
      </w:r>
      <w:r w:rsidR="00E4408B" w:rsidRPr="006E5CA8">
        <w:t xml:space="preserve">road </w:t>
      </w:r>
      <w:r w:rsidR="004E60B9">
        <w:t>concrete</w:t>
      </w:r>
      <w:r w:rsidR="004E60B9" w:rsidRPr="006E5CA8">
        <w:t xml:space="preserve"> </w:t>
      </w:r>
      <w:r w:rsidR="00E4408B" w:rsidRPr="006E5CA8">
        <w:t>mixers and dump trucks.</w:t>
      </w:r>
    </w:p>
    <w:p w14:paraId="071E0845" w14:textId="44DCB7CE" w:rsidR="00CF5EB3" w:rsidRDefault="00CF5EB3" w:rsidP="004B406D">
      <w:pPr>
        <w:pStyle w:val="PR1"/>
      </w:pPr>
      <w:proofErr w:type="spellStart"/>
      <w:r>
        <w:t>BACT</w:t>
      </w:r>
      <w:proofErr w:type="spellEnd"/>
      <w:r>
        <w:t>:  Best available control technology.</w:t>
      </w:r>
    </w:p>
    <w:p w14:paraId="7CBB3841" w14:textId="67F10542" w:rsidR="004B406D" w:rsidRDefault="004B406D" w:rsidP="004B406D">
      <w:pPr>
        <w:pStyle w:val="PR1"/>
      </w:pPr>
      <w:r>
        <w:t xml:space="preserve">CARB: </w:t>
      </w:r>
      <w:r w:rsidR="00C44BC7">
        <w:t xml:space="preserve"> </w:t>
      </w:r>
      <w:r w:rsidR="00CF5EB3">
        <w:t xml:space="preserve">The </w:t>
      </w:r>
      <w:r>
        <w:t xml:space="preserve">California Air Resources Board, a state regulatory agency charged with regulating the air quality in California. </w:t>
      </w:r>
    </w:p>
    <w:p w14:paraId="1AE50BBE" w14:textId="2463B122" w:rsidR="00DC718F" w:rsidRDefault="00DC718F" w:rsidP="004B406D">
      <w:pPr>
        <w:pStyle w:val="PR1"/>
      </w:pPr>
      <w:r>
        <w:t xml:space="preserve">DERA: </w:t>
      </w:r>
      <w:r w:rsidR="00C44BC7">
        <w:t xml:space="preserve"> </w:t>
      </w:r>
      <w:r>
        <w:t xml:space="preserve">The U.S. </w:t>
      </w:r>
      <w:r w:rsidRPr="00C66434">
        <w:t>Diesel Emissions Reduction Act</w:t>
      </w:r>
      <w:r>
        <w:t>.</w:t>
      </w:r>
    </w:p>
    <w:p w14:paraId="43CACE1E" w14:textId="541706A1" w:rsidR="004B406D" w:rsidRDefault="004B406D" w:rsidP="004B406D">
      <w:pPr>
        <w:pStyle w:val="PR1"/>
      </w:pPr>
      <w:r>
        <w:t>Diesel Particulate Matter</w:t>
      </w:r>
      <w:r w:rsidR="00B0609E">
        <w:t>:  T</w:t>
      </w:r>
      <w:r>
        <w:t xml:space="preserve">he solid or liquid particles found in the air </w:t>
      </w:r>
      <w:r w:rsidR="00916049">
        <w:t xml:space="preserve">which are </w:t>
      </w:r>
      <w:r>
        <w:t xml:space="preserve">released through diesel </w:t>
      </w:r>
      <w:r w:rsidR="00CE2806">
        <w:t>combustion</w:t>
      </w:r>
      <w:r w:rsidR="00F47F24">
        <w:t xml:space="preserve"> </w:t>
      </w:r>
      <w:r w:rsidR="00916049">
        <w:t>exhaust</w:t>
      </w:r>
      <w:r>
        <w:t xml:space="preserve">.  Exposure to diesel particulate matter increases the risk of heart attack, stroke, </w:t>
      </w:r>
      <w:r w:rsidR="008D4C19">
        <w:t xml:space="preserve">and </w:t>
      </w:r>
      <w:r>
        <w:t>cardiovascular disease, exacerbates asthma, and can lead to low-weight and pre-term births.</w:t>
      </w:r>
      <w:r w:rsidR="00DC718F">
        <w:t xml:space="preserve"> </w:t>
      </w:r>
      <w:r>
        <w:t xml:space="preserve"> Diesel particulate matter is also a known human carcinogen as determined by the International Agency for Research on Cancer.</w:t>
      </w:r>
    </w:p>
    <w:p w14:paraId="28CF0EDC" w14:textId="792182EB" w:rsidR="004B406D" w:rsidRDefault="004B406D" w:rsidP="004B406D">
      <w:pPr>
        <w:pStyle w:val="PR1"/>
      </w:pPr>
      <w:r>
        <w:lastRenderedPageBreak/>
        <w:t xml:space="preserve">DOC: </w:t>
      </w:r>
      <w:r w:rsidR="00B0609E">
        <w:t xml:space="preserve"> </w:t>
      </w:r>
      <w:r>
        <w:t xml:space="preserve">Diesel oxidation catalyst.  A </w:t>
      </w:r>
      <w:r w:rsidR="00DD258D">
        <w:t xml:space="preserve">flow-through </w:t>
      </w:r>
      <w:r>
        <w:t>device designed to reduce harmful diesel emissions such as carbon monoxide, hydrocarbons</w:t>
      </w:r>
      <w:r w:rsidR="00A33520">
        <w:t>,</w:t>
      </w:r>
      <w:r>
        <w:t xml:space="preserve"> and diesel particulate emissions</w:t>
      </w:r>
      <w:r w:rsidR="00DD258D">
        <w:t xml:space="preserve">, </w:t>
      </w:r>
      <w:bookmarkStart w:id="1" w:name="_Hlk54626319"/>
      <w:r w:rsidR="00DD258D">
        <w:t>with a diesel particulate matter removal efficiency of at least 20</w:t>
      </w:r>
      <w:r w:rsidR="00A33520">
        <w:t xml:space="preserve"> percent</w:t>
      </w:r>
      <w:r>
        <w:t>.</w:t>
      </w:r>
    </w:p>
    <w:bookmarkEnd w:id="1"/>
    <w:p w14:paraId="1FC02C68" w14:textId="560E9A86" w:rsidR="004B406D" w:rsidRDefault="004B406D" w:rsidP="004B406D">
      <w:pPr>
        <w:pStyle w:val="PR1"/>
      </w:pPr>
      <w:proofErr w:type="spellStart"/>
      <w:r>
        <w:t>DPF</w:t>
      </w:r>
      <w:proofErr w:type="spellEnd"/>
      <w:r>
        <w:t xml:space="preserve">: </w:t>
      </w:r>
      <w:r w:rsidR="00916049">
        <w:t xml:space="preserve"> </w:t>
      </w:r>
      <w:r>
        <w:t>Diesel particulate filter.  A device designed to trap diesel particulate matter above a certain size</w:t>
      </w:r>
      <w:r w:rsidR="00DD258D">
        <w:t xml:space="preserve"> </w:t>
      </w:r>
      <w:bookmarkStart w:id="2" w:name="_Hlk54625958"/>
      <w:r w:rsidR="00DD258D">
        <w:t>with a removal efficiency of at least 85</w:t>
      </w:r>
      <w:r w:rsidR="00A33520">
        <w:t xml:space="preserve"> percent</w:t>
      </w:r>
      <w:r>
        <w:t>.</w:t>
      </w:r>
      <w:bookmarkEnd w:id="2"/>
    </w:p>
    <w:p w14:paraId="4994A685" w14:textId="3D1DAAC7" w:rsidR="004B406D" w:rsidRDefault="004B406D" w:rsidP="004B406D">
      <w:pPr>
        <w:pStyle w:val="PR1"/>
      </w:pPr>
      <w:r>
        <w:t xml:space="preserve">Emission Control Device: </w:t>
      </w:r>
      <w:r w:rsidR="00DC718F">
        <w:t xml:space="preserve"> T</w:t>
      </w:r>
      <w:r>
        <w:t>echnology added to equipment to reduce harmful emissions</w:t>
      </w:r>
      <w:bookmarkStart w:id="3" w:name="_Hlk54626391"/>
      <w:r w:rsidR="00DD258D">
        <w:t>; includ</w:t>
      </w:r>
      <w:r w:rsidR="00DC718F">
        <w:t>es</w:t>
      </w:r>
      <w:r w:rsidR="00DD258D">
        <w:t xml:space="preserve"> </w:t>
      </w:r>
      <w:proofErr w:type="spellStart"/>
      <w:r w:rsidR="00DD258D">
        <w:t>DPFs</w:t>
      </w:r>
      <w:proofErr w:type="spellEnd"/>
      <w:r w:rsidR="00DD258D">
        <w:t xml:space="preserve"> and </w:t>
      </w:r>
      <w:proofErr w:type="spellStart"/>
      <w:r w:rsidR="00DD258D">
        <w:t>DOCs</w:t>
      </w:r>
      <w:proofErr w:type="spellEnd"/>
      <w:r w:rsidR="00DD258D">
        <w:t xml:space="preserve">.  </w:t>
      </w:r>
    </w:p>
    <w:bookmarkEnd w:id="3"/>
    <w:p w14:paraId="5110C9B3" w14:textId="7553D21A" w:rsidR="004B406D" w:rsidRDefault="004B406D" w:rsidP="004B406D">
      <w:pPr>
        <w:pStyle w:val="PR1"/>
      </w:pPr>
      <w:r>
        <w:t xml:space="preserve">EPA: </w:t>
      </w:r>
      <w:r w:rsidR="00DC718F">
        <w:t xml:space="preserve"> The </w:t>
      </w:r>
      <w:r>
        <w:t>U.S. Environmental Protection Agency</w:t>
      </w:r>
      <w:r w:rsidR="00A33520">
        <w:t>:  A</w:t>
      </w:r>
      <w:r>
        <w:t xml:space="preserve"> federal regulatory agency charged with </w:t>
      </w:r>
      <w:r w:rsidR="00DC718F">
        <w:t xml:space="preserve">protecting human health and </w:t>
      </w:r>
      <w:r>
        <w:t>the environment.</w:t>
      </w:r>
    </w:p>
    <w:p w14:paraId="6A612F43" w14:textId="069759E1" w:rsidR="006F7557" w:rsidRDefault="004B406D" w:rsidP="006F7557">
      <w:pPr>
        <w:pStyle w:val="PR1"/>
      </w:pPr>
      <w:r>
        <w:t xml:space="preserve">Nonroad: </w:t>
      </w:r>
      <w:r w:rsidR="00B0609E">
        <w:t xml:space="preserve"> </w:t>
      </w:r>
      <w:r>
        <w:t xml:space="preserve">Construction equipment and vehicles that fall under the EPA nonroad engine equipment category, which includes all diesel equipment not intended for highway use. </w:t>
      </w:r>
      <w:r w:rsidR="00DC718F">
        <w:t xml:space="preserve"> </w:t>
      </w:r>
      <w:r>
        <w:t>For purpose</w:t>
      </w:r>
      <w:r w:rsidR="00DC718F">
        <w:t>s</w:t>
      </w:r>
      <w:r>
        <w:t xml:space="preserve"> of this </w:t>
      </w:r>
      <w:r w:rsidR="00DC718F">
        <w:t>section</w:t>
      </w:r>
      <w:r>
        <w:t xml:space="preserve">, </w:t>
      </w:r>
      <w:r w:rsidR="00DC718F">
        <w:t xml:space="preserve">nonroad </w:t>
      </w:r>
      <w:r>
        <w:t>include</w:t>
      </w:r>
      <w:r w:rsidR="00DC718F">
        <w:t>s</w:t>
      </w:r>
      <w:r>
        <w:t xml:space="preserve"> only diesel construction equipment </w:t>
      </w:r>
      <w:r w:rsidR="00DC718F">
        <w:t xml:space="preserve">and vehicles </w:t>
      </w:r>
      <w:r>
        <w:t>with engines larger than 25 horsepower, which includes tractors, excavators, dozers, scrapers</w:t>
      </w:r>
      <w:r w:rsidR="00A9419B">
        <w:t>,</w:t>
      </w:r>
      <w:r>
        <w:t xml:space="preserve"> and other construction equipment</w:t>
      </w:r>
      <w:r w:rsidR="00DC718F">
        <w:t xml:space="preserve"> and vehicles</w:t>
      </w:r>
      <w:r>
        <w:t xml:space="preserve">. </w:t>
      </w:r>
    </w:p>
    <w:p w14:paraId="7D4AE753" w14:textId="0501A433" w:rsidR="001E6935" w:rsidRDefault="001E6935" w:rsidP="006F7557">
      <w:pPr>
        <w:pStyle w:val="PR1"/>
      </w:pPr>
      <w:r>
        <w:t xml:space="preserve">Recognized Service Provider:  </w:t>
      </w:r>
      <w:r w:rsidR="00602854">
        <w:t>A</w:t>
      </w:r>
      <w:r w:rsidR="00602854" w:rsidRPr="00925D20">
        <w:t xml:space="preserve">n </w:t>
      </w:r>
      <w:r w:rsidR="00925D20" w:rsidRPr="00925D20">
        <w:t xml:space="preserve">installer authorized by the </w:t>
      </w:r>
      <w:r w:rsidR="001D6126" w:rsidRPr="00B0609E">
        <w:t>manufacturer of the emission control device</w:t>
      </w:r>
      <w:r w:rsidR="00925D20">
        <w:t xml:space="preserve">. </w:t>
      </w:r>
    </w:p>
    <w:p w14:paraId="675F0A88" w14:textId="0412EEA7" w:rsidR="00DA1569" w:rsidRDefault="00DA1569" w:rsidP="00D81692">
      <w:pPr>
        <w:pStyle w:val="ART"/>
        <w:ind w:hanging="6714"/>
      </w:pPr>
      <w:r>
        <w:t>DIESEL EMISSIONS CONTROLS – VEHICLES AND EQUIPMENT</w:t>
      </w:r>
    </w:p>
    <w:p w14:paraId="34C2484F" w14:textId="18581D96" w:rsidR="00DA1569" w:rsidRDefault="00DA1569" w:rsidP="00DA1569">
      <w:pPr>
        <w:pStyle w:val="PR1"/>
      </w:pPr>
      <w:r>
        <w:t xml:space="preserve">Limit idling of </w:t>
      </w:r>
      <w:r w:rsidR="00331543">
        <w:t xml:space="preserve">applicable vehicles and equipment </w:t>
      </w:r>
      <w:r>
        <w:t xml:space="preserve">to 5 minutes when the </w:t>
      </w:r>
      <w:r w:rsidR="007721AC">
        <w:t xml:space="preserve">vehicle or </w:t>
      </w:r>
      <w:r>
        <w:t>equipment is not in use or in motion, except as follows:</w:t>
      </w:r>
    </w:p>
    <w:p w14:paraId="1C5CDD7C" w14:textId="40190D02" w:rsidR="00DA1569" w:rsidRDefault="00DA1569" w:rsidP="00DA1569">
      <w:pPr>
        <w:pStyle w:val="PR2"/>
      </w:pPr>
      <w:r>
        <w:t xml:space="preserve">When traffic conditions or mechanical difficulties, over which the operator has no control, force the </w:t>
      </w:r>
      <w:r w:rsidR="007721AC">
        <w:t xml:space="preserve">vehicle or </w:t>
      </w:r>
      <w:r>
        <w:t>equipment to remain motionless.</w:t>
      </w:r>
    </w:p>
    <w:p w14:paraId="31A9AF45" w14:textId="3769B9D0" w:rsidR="00DA1569" w:rsidRDefault="00DA1569" w:rsidP="00DA1569">
      <w:pPr>
        <w:pStyle w:val="PR2"/>
      </w:pPr>
      <w:r>
        <w:t xml:space="preserve">When operating the </w:t>
      </w:r>
      <w:r w:rsidR="007721AC">
        <w:t xml:space="preserve">vehicle or </w:t>
      </w:r>
      <w:r>
        <w:t>equipment’s heating, cooling, or auxiliary systems using a diesel-powered engine is necessary to accomplish the intended use.</w:t>
      </w:r>
    </w:p>
    <w:p w14:paraId="55B5C002" w14:textId="27ABF8F7" w:rsidR="00DA1569" w:rsidRDefault="00DA1569" w:rsidP="00DA1569">
      <w:pPr>
        <w:pStyle w:val="PR2"/>
      </w:pPr>
      <w:r>
        <w:t xml:space="preserve">To bring the </w:t>
      </w:r>
      <w:r w:rsidR="007721AC">
        <w:t xml:space="preserve">vehicle or </w:t>
      </w:r>
      <w:r>
        <w:t>equipment to the manufacturer’s recommended operating temperature.</w:t>
      </w:r>
    </w:p>
    <w:p w14:paraId="3893F3AE" w14:textId="0AE6F187" w:rsidR="00DA1569" w:rsidRDefault="00DA1569" w:rsidP="00DA1569">
      <w:pPr>
        <w:pStyle w:val="PR2"/>
      </w:pPr>
      <w:r>
        <w:t xml:space="preserve">When the outdoor temperature is below </w:t>
      </w:r>
      <w:r w:rsidR="00CD5E2E">
        <w:t>40</w:t>
      </w:r>
      <w:r>
        <w:t>°F</w:t>
      </w:r>
      <w:r w:rsidR="00D605D5">
        <w:t xml:space="preserve"> or above 90</w:t>
      </w:r>
      <w:r w:rsidR="00D605D5" w:rsidRPr="00D605D5">
        <w:t>°F</w:t>
      </w:r>
      <w:r>
        <w:t>.</w:t>
      </w:r>
    </w:p>
    <w:p w14:paraId="1EF823B8" w14:textId="13AF710F" w:rsidR="00DA1569" w:rsidRDefault="00DA1569" w:rsidP="00DA1569">
      <w:pPr>
        <w:pStyle w:val="PR2"/>
      </w:pPr>
      <w:r>
        <w:t xml:space="preserve">When needed to repair the </w:t>
      </w:r>
      <w:r w:rsidR="007721AC">
        <w:t xml:space="preserve">vehicle or </w:t>
      </w:r>
      <w:r>
        <w:t>equipment.</w:t>
      </w:r>
    </w:p>
    <w:p w14:paraId="307F0497" w14:textId="28ECC856" w:rsidR="00DA1569" w:rsidRDefault="00DA1569" w:rsidP="00DA1569">
      <w:pPr>
        <w:pStyle w:val="PR2"/>
      </w:pPr>
      <w:r>
        <w:t>When t</w:t>
      </w:r>
      <w:r w:rsidRPr="00F402A7">
        <w:t xml:space="preserve">he safety of </w:t>
      </w:r>
      <w:r w:rsidR="00185ACA">
        <w:t>work</w:t>
      </w:r>
      <w:r w:rsidR="00BF5A9A">
        <w:t xml:space="preserve"> </w:t>
      </w:r>
      <w:r>
        <w:t xml:space="preserve">site personnel or visitors </w:t>
      </w:r>
      <w:r w:rsidRPr="00F402A7">
        <w:t xml:space="preserve">may be compromised if </w:t>
      </w:r>
      <w:r w:rsidR="00476CF4">
        <w:t xml:space="preserve">the </w:t>
      </w:r>
      <w:r w:rsidR="007721AC">
        <w:t xml:space="preserve">vehicle or </w:t>
      </w:r>
      <w:r w:rsidRPr="00F402A7">
        <w:t xml:space="preserve">equipment is turned off; for example, where </w:t>
      </w:r>
      <w:r>
        <w:t xml:space="preserve">the </w:t>
      </w:r>
      <w:r w:rsidR="007721AC">
        <w:t xml:space="preserve">vehicle or </w:t>
      </w:r>
      <w:r>
        <w:t xml:space="preserve">equipment protects workers that </w:t>
      </w:r>
      <w:r w:rsidRPr="00F402A7">
        <w:t>are working in a trench</w:t>
      </w:r>
      <w:r>
        <w:t>.</w:t>
      </w:r>
    </w:p>
    <w:p w14:paraId="13DFD7EB" w14:textId="6789EEBB" w:rsidR="00DA1569" w:rsidRDefault="00DA1569" w:rsidP="00DA1569">
      <w:pPr>
        <w:pStyle w:val="PR2"/>
      </w:pPr>
      <w:r>
        <w:t>When t</w:t>
      </w:r>
      <w:r w:rsidRPr="00F402A7">
        <w:t xml:space="preserve">he </w:t>
      </w:r>
      <w:r w:rsidR="007721AC">
        <w:t xml:space="preserve">vehicle or </w:t>
      </w:r>
      <w:r w:rsidRPr="00F402A7">
        <w:t xml:space="preserve">equipment meets </w:t>
      </w:r>
      <w:r w:rsidR="006F7557">
        <w:t>EPA Tier 4</w:t>
      </w:r>
      <w:r w:rsidRPr="00F402A7">
        <w:t xml:space="preserve"> emissions standards or has been retrofit</w:t>
      </w:r>
      <w:r>
        <w:t>ted</w:t>
      </w:r>
      <w:r w:rsidRPr="00F402A7">
        <w:t xml:space="preserve"> with a </w:t>
      </w:r>
      <w:proofErr w:type="spellStart"/>
      <w:r>
        <w:t>DPF</w:t>
      </w:r>
      <w:proofErr w:type="spellEnd"/>
      <w:r>
        <w:t xml:space="preserve">. </w:t>
      </w:r>
    </w:p>
    <w:p w14:paraId="0D6B1BA8" w14:textId="77777777" w:rsidR="00DA1569" w:rsidRDefault="00DA1569" w:rsidP="00DA1569">
      <w:pPr>
        <w:pStyle w:val="PR2"/>
      </w:pPr>
      <w:r>
        <w:t>Under other circumstances specifically authorized by the Port.</w:t>
      </w:r>
    </w:p>
    <w:p w14:paraId="6F674E72" w14:textId="1ECE45EA" w:rsidR="0090608E" w:rsidRDefault="00DA1569" w:rsidP="00DA1569">
      <w:pPr>
        <w:pStyle w:val="PR1"/>
        <w:keepNext/>
      </w:pPr>
      <w:r>
        <w:t xml:space="preserve">The </w:t>
      </w:r>
      <w:r w:rsidRPr="00F402A7">
        <w:t>Contractor</w:t>
      </w:r>
      <w:r>
        <w:t xml:space="preserve"> shall</w:t>
      </w:r>
      <w:r w:rsidRPr="00F402A7">
        <w:t xml:space="preserve"> </w:t>
      </w:r>
      <w:r w:rsidR="006F7557">
        <w:t>p</w:t>
      </w:r>
      <w:r w:rsidR="006F7557" w:rsidRPr="006F7557">
        <w:t xml:space="preserve">ost “Five Minute Limit” anti-idling signs near vehicle </w:t>
      </w:r>
      <w:r w:rsidR="007721AC">
        <w:t xml:space="preserve">and equipment </w:t>
      </w:r>
      <w:r w:rsidR="00185ACA">
        <w:t>work</w:t>
      </w:r>
      <w:r w:rsidR="00BF5A9A">
        <w:t xml:space="preserve"> </w:t>
      </w:r>
      <w:r w:rsidR="00BF5A9A" w:rsidRPr="006F7557">
        <w:t xml:space="preserve">site </w:t>
      </w:r>
      <w:r w:rsidR="006F7557" w:rsidRPr="006F7557">
        <w:t xml:space="preserve">entrances and/or gathering areas where signage is highly visible to onsite workers.  All </w:t>
      </w:r>
      <w:r w:rsidR="007721AC">
        <w:lastRenderedPageBreak/>
        <w:t>n</w:t>
      </w:r>
      <w:r w:rsidR="00445967">
        <w:t xml:space="preserve">onroad </w:t>
      </w:r>
      <w:r w:rsidR="00C47691">
        <w:t xml:space="preserve">vehicles and </w:t>
      </w:r>
      <w:r w:rsidR="00C47691" w:rsidRPr="006F7557">
        <w:t>equipment</w:t>
      </w:r>
      <w:r w:rsidR="006F7557" w:rsidRPr="006F7557">
        <w:t xml:space="preserve"> shall have decals/prompts visible to the operator to remind them to shut down the </w:t>
      </w:r>
      <w:r w:rsidR="007721AC">
        <w:t xml:space="preserve">vehicle or </w:t>
      </w:r>
      <w:r w:rsidR="006F7557" w:rsidRPr="006F7557">
        <w:t xml:space="preserve">equipment after 5 minutes of inactivity.   </w:t>
      </w:r>
    </w:p>
    <w:p w14:paraId="0B0724B8" w14:textId="2624DE0D" w:rsidR="00DA1569" w:rsidRDefault="00DA1569" w:rsidP="00CD712A">
      <w:pPr>
        <w:pStyle w:val="ART"/>
        <w:keepNext/>
        <w:ind w:left="6710" w:hanging="6710"/>
      </w:pPr>
      <w:r>
        <w:t>ELECTRIFICATION</w:t>
      </w:r>
    </w:p>
    <w:p w14:paraId="48D53DF4" w14:textId="17D876C4" w:rsidR="007721AC" w:rsidRDefault="00FD52CD" w:rsidP="00FA72F1">
      <w:pPr>
        <w:pStyle w:val="PR1"/>
      </w:pPr>
      <w:r>
        <w:t>L</w:t>
      </w:r>
      <w:r w:rsidR="00DA1569">
        <w:t xml:space="preserve">ights, compressors, and any other stationary </w:t>
      </w:r>
      <w:r>
        <w:t xml:space="preserve">equipment </w:t>
      </w:r>
      <w:r w:rsidR="00DA1569">
        <w:t xml:space="preserve">shall be </w:t>
      </w:r>
      <w:r w:rsidR="00395161">
        <w:t xml:space="preserve">electrical </w:t>
      </w:r>
      <w:r w:rsidR="00DA1569">
        <w:t>grid</w:t>
      </w:r>
      <w:r w:rsidR="00395161">
        <w:t>-</w:t>
      </w:r>
      <w:r w:rsidR="00DA1569">
        <w:t xml:space="preserve">powered to the extent practicable.  The Contractor shall apply for a grid power connection as early as possible </w:t>
      </w:r>
      <w:r w:rsidR="007721AC">
        <w:t>before c</w:t>
      </w:r>
      <w:r w:rsidR="00DA1569">
        <w:t xml:space="preserve">ommencing construction at any given site and shall distribute power as needed throughout the site(s) </w:t>
      </w:r>
      <w:proofErr w:type="gramStart"/>
      <w:r w:rsidR="00DA1569">
        <w:t>so as to</w:t>
      </w:r>
      <w:proofErr w:type="gramEnd"/>
      <w:r w:rsidR="00DA1569">
        <w:t xml:space="preserve"> ensure the availability of grid power.</w:t>
      </w:r>
    </w:p>
    <w:p w14:paraId="68FEADE3" w14:textId="28D7AEA8" w:rsidR="00EA0447" w:rsidRDefault="00EA0447" w:rsidP="00EA0447">
      <w:pPr>
        <w:pStyle w:val="ART"/>
        <w:ind w:left="864"/>
        <w:jc w:val="left"/>
      </w:pPr>
      <w:r>
        <w:t xml:space="preserve">DIESEL FUEL </w:t>
      </w:r>
      <w:r w:rsidR="00274C92">
        <w:t xml:space="preserve">AND ENGINE </w:t>
      </w:r>
      <w:r>
        <w:t>REQUIREMENTS</w:t>
      </w:r>
    </w:p>
    <w:p w14:paraId="0D61C8EA" w14:textId="58D66A63" w:rsidR="00EA0447" w:rsidRPr="00F42AC8" w:rsidRDefault="00EA0447" w:rsidP="00EA0447">
      <w:pPr>
        <w:pStyle w:val="PR1"/>
      </w:pPr>
      <w:r>
        <w:t xml:space="preserve">Diesel equipment and vehicles are required to use renewable R99 diesel fuel </w:t>
      </w:r>
      <w:r w:rsidR="00274C92">
        <w:t>unless otherwise approved by the Port</w:t>
      </w:r>
      <w:r>
        <w:t>.</w:t>
      </w:r>
    </w:p>
    <w:p w14:paraId="17C98137" w14:textId="33D231DF" w:rsidR="000653D1" w:rsidRDefault="000653D1" w:rsidP="000653D1">
      <w:pPr>
        <w:pStyle w:val="PR1"/>
      </w:pPr>
      <w:r w:rsidRPr="000653D1">
        <w:t xml:space="preserve">No </w:t>
      </w:r>
      <w:r w:rsidR="00916049">
        <w:t>applicable vehicles and equipment</w:t>
      </w:r>
      <w:r w:rsidR="0090608E" w:rsidRPr="0090608E">
        <w:t xml:space="preserve"> </w:t>
      </w:r>
      <w:r w:rsidRPr="000653D1">
        <w:t xml:space="preserve">shall be brought on the </w:t>
      </w:r>
      <w:r w:rsidR="00185ACA">
        <w:t>work</w:t>
      </w:r>
      <w:r w:rsidR="00185ACA" w:rsidRPr="000653D1">
        <w:t xml:space="preserve"> </w:t>
      </w:r>
      <w:r w:rsidRPr="000653D1">
        <w:t>site without meeting the following requirements</w:t>
      </w:r>
      <w:r w:rsidRPr="00FD52CD">
        <w:t xml:space="preserve">, </w:t>
      </w:r>
      <w:r w:rsidRPr="00DF37DA">
        <w:t>unless retrofitted</w:t>
      </w:r>
      <w:r w:rsidRPr="00FD52CD">
        <w:t xml:space="preserve"> with</w:t>
      </w:r>
      <w:r w:rsidRPr="000653D1">
        <w:t xml:space="preserve"> an </w:t>
      </w:r>
      <w:r w:rsidR="0096141B">
        <w:t>E</w:t>
      </w:r>
      <w:r w:rsidRPr="000653D1">
        <w:t xml:space="preserve">missions </w:t>
      </w:r>
      <w:r w:rsidR="0096141B">
        <w:t>C</w:t>
      </w:r>
      <w:r w:rsidRPr="000653D1">
        <w:t xml:space="preserve">ontrol </w:t>
      </w:r>
      <w:r w:rsidR="0096141B">
        <w:t>D</w:t>
      </w:r>
      <w:r w:rsidRPr="000653D1">
        <w:t>evice</w:t>
      </w:r>
      <w:r w:rsidR="00230B9D">
        <w:t>,</w:t>
      </w:r>
      <w:r w:rsidR="00A1399C">
        <w:t xml:space="preserve"> </w:t>
      </w:r>
      <w:r w:rsidR="00230B9D">
        <w:t xml:space="preserve">powered by </w:t>
      </w:r>
      <w:r w:rsidR="004C375F">
        <w:t>A</w:t>
      </w:r>
      <w:r w:rsidR="00A1399C">
        <w:t>lternative</w:t>
      </w:r>
      <w:r w:rsidR="00230B9D">
        <w:t xml:space="preserve"> </w:t>
      </w:r>
      <w:r w:rsidR="004C375F">
        <w:t>F</w:t>
      </w:r>
      <w:r w:rsidR="00230B9D">
        <w:t>uel,</w:t>
      </w:r>
      <w:r w:rsidRPr="000653D1">
        <w:t xml:space="preserve"> or a waiver has been granted</w:t>
      </w:r>
      <w:r w:rsidR="007721AC">
        <w:t xml:space="preserve"> by the Port</w:t>
      </w:r>
      <w:r w:rsidRPr="000653D1">
        <w:t xml:space="preserve">, as specified in this section. </w:t>
      </w:r>
    </w:p>
    <w:p w14:paraId="0F248103" w14:textId="0B5D3F3D" w:rsidR="00144BCE" w:rsidRPr="000653D1" w:rsidRDefault="00144BCE" w:rsidP="0005452E">
      <w:pPr>
        <w:pStyle w:val="PR2"/>
      </w:pPr>
      <w:r>
        <w:t xml:space="preserve">Nonroad </w:t>
      </w:r>
      <w:r w:rsidR="00C539D9">
        <w:t>E</w:t>
      </w:r>
      <w:r>
        <w:t>quipment</w:t>
      </w:r>
      <w:r w:rsidR="00C539D9">
        <w:t>:</w:t>
      </w:r>
    </w:p>
    <w:p w14:paraId="0F6DC316" w14:textId="51953F2D" w:rsidR="00144BCE" w:rsidRDefault="00C92FBC" w:rsidP="00144BCE">
      <w:pPr>
        <w:pStyle w:val="PR3"/>
      </w:pPr>
      <w:r>
        <w:t>O</w:t>
      </w:r>
      <w:r w:rsidR="00A77B57">
        <w:t xml:space="preserve">nly </w:t>
      </w:r>
      <w:r w:rsidR="007721AC">
        <w:t xml:space="preserve">EPA </w:t>
      </w:r>
      <w:r w:rsidR="00A77B57">
        <w:t>Tier 4</w:t>
      </w:r>
      <w:r w:rsidR="00DA1569">
        <w:t xml:space="preserve"> nonroad engines </w:t>
      </w:r>
      <w:r w:rsidR="0015784F">
        <w:t>are</w:t>
      </w:r>
      <w:r w:rsidR="00DA1569">
        <w:t xml:space="preserve"> allowed</w:t>
      </w:r>
      <w:r w:rsidR="00144BCE">
        <w:t>.</w:t>
      </w:r>
    </w:p>
    <w:p w14:paraId="63AD4191" w14:textId="6FB4F0A4" w:rsidR="00144BCE" w:rsidRDefault="00144BCE" w:rsidP="0005452E">
      <w:pPr>
        <w:pStyle w:val="PR2"/>
      </w:pPr>
      <w:r>
        <w:t>On</w:t>
      </w:r>
      <w:r w:rsidR="00F32B57">
        <w:t>-</w:t>
      </w:r>
      <w:r w:rsidR="00150593">
        <w:t>R</w:t>
      </w:r>
      <w:r>
        <w:t xml:space="preserve">oad </w:t>
      </w:r>
      <w:r w:rsidR="00150593">
        <w:t>C</w:t>
      </w:r>
      <w:r w:rsidR="007721AC">
        <w:t xml:space="preserve">oncrete </w:t>
      </w:r>
      <w:r w:rsidR="00150593">
        <w:t>M</w:t>
      </w:r>
      <w:r w:rsidR="007721AC">
        <w:t xml:space="preserve">ixers and </w:t>
      </w:r>
      <w:r w:rsidR="00150593">
        <w:t>D</w:t>
      </w:r>
      <w:r w:rsidR="007721AC">
        <w:t xml:space="preserve">ump </w:t>
      </w:r>
      <w:r w:rsidR="00150593">
        <w:t>T</w:t>
      </w:r>
      <w:r w:rsidR="007721AC">
        <w:t>rucks</w:t>
      </w:r>
      <w:r w:rsidR="00150593">
        <w:t>:</w:t>
      </w:r>
    </w:p>
    <w:p w14:paraId="5A43330A" w14:textId="6E00D790" w:rsidR="00DA1569" w:rsidRDefault="00C92FBC" w:rsidP="0005452E">
      <w:pPr>
        <w:pStyle w:val="PR3"/>
      </w:pPr>
      <w:r>
        <w:t>O</w:t>
      </w:r>
      <w:r w:rsidR="009437C6">
        <w:t xml:space="preserve">nly </w:t>
      </w:r>
      <w:r w:rsidR="00FB55E5">
        <w:t xml:space="preserve">2007 </w:t>
      </w:r>
      <w:r w:rsidR="00A77B57">
        <w:t xml:space="preserve">and newer </w:t>
      </w:r>
      <w:r w:rsidR="00DA1569">
        <w:t xml:space="preserve">diesel </w:t>
      </w:r>
      <w:r w:rsidR="009A21FF">
        <w:t xml:space="preserve">concrete </w:t>
      </w:r>
      <w:r w:rsidR="00DA1569">
        <w:t xml:space="preserve">mixers </w:t>
      </w:r>
      <w:r w:rsidR="00A77B57">
        <w:t xml:space="preserve">and </w:t>
      </w:r>
      <w:r w:rsidR="00DA1569">
        <w:t xml:space="preserve">dump trucks </w:t>
      </w:r>
      <w:r>
        <w:t>are</w:t>
      </w:r>
      <w:r w:rsidR="00DA1569">
        <w:t xml:space="preserve"> allowed.</w:t>
      </w:r>
    </w:p>
    <w:p w14:paraId="34FC1D26" w14:textId="3E644463" w:rsidR="00DA1569" w:rsidRDefault="00DA1569" w:rsidP="00D81692">
      <w:pPr>
        <w:pStyle w:val="ART"/>
        <w:ind w:hanging="6714"/>
      </w:pPr>
      <w:r>
        <w:t>ALTERNATIVE EMISSIONS CONTROL DEVICE RETROFITS</w:t>
      </w:r>
    </w:p>
    <w:p w14:paraId="46F6FF10" w14:textId="66A9C836" w:rsidR="00DA1569" w:rsidRDefault="007721AC" w:rsidP="00DA1569">
      <w:pPr>
        <w:pStyle w:val="PR1"/>
      </w:pPr>
      <w:r>
        <w:t>Applicable vehicles and e</w:t>
      </w:r>
      <w:r w:rsidR="00DA1569">
        <w:t xml:space="preserve">quipment which do not meet the </w:t>
      </w:r>
      <w:r w:rsidR="009437C6">
        <w:t xml:space="preserve">diesel </w:t>
      </w:r>
      <w:r w:rsidR="00DA1569">
        <w:t xml:space="preserve">engine standards under </w:t>
      </w:r>
      <w:r w:rsidR="00156FA3">
        <w:t>this s</w:t>
      </w:r>
      <w:r w:rsidR="00DA1569">
        <w:t xml:space="preserve">ection may alternatively be retrofitted with an </w:t>
      </w:r>
      <w:r w:rsidR="005C0BB5">
        <w:t>E</w:t>
      </w:r>
      <w:r w:rsidR="00DA1569">
        <w:t xml:space="preserve">missions </w:t>
      </w:r>
      <w:r w:rsidR="005C0BB5">
        <w:t>C</w:t>
      </w:r>
      <w:r w:rsidR="00DA1569">
        <w:t xml:space="preserve">ontrol </w:t>
      </w:r>
      <w:r w:rsidR="005C0BB5">
        <w:t>D</w:t>
      </w:r>
      <w:r w:rsidR="00DA1569">
        <w:t xml:space="preserve">evice utilizing the </w:t>
      </w:r>
      <w:proofErr w:type="spellStart"/>
      <w:r w:rsidR="00DA1569">
        <w:t>BACT</w:t>
      </w:r>
      <w:proofErr w:type="spellEnd"/>
      <w:r w:rsidR="00DA1569">
        <w:t xml:space="preserve"> described below.  </w:t>
      </w:r>
    </w:p>
    <w:p w14:paraId="0CA3F4DD" w14:textId="28BF79BE" w:rsidR="00DA1569" w:rsidRDefault="00DA1569" w:rsidP="00DA1569">
      <w:pPr>
        <w:pStyle w:val="PR2"/>
      </w:pPr>
      <w:proofErr w:type="spellStart"/>
      <w:r>
        <w:t>DPFs</w:t>
      </w:r>
      <w:proofErr w:type="spellEnd"/>
      <w:r w:rsidR="001D6126">
        <w:t xml:space="preserve">, </w:t>
      </w:r>
      <w:r w:rsidR="001D6126" w:rsidRPr="009F6A79">
        <w:t xml:space="preserve">or </w:t>
      </w:r>
      <w:r w:rsidR="001D6126" w:rsidRPr="0073720C">
        <w:t xml:space="preserve">an </w:t>
      </w:r>
      <w:r w:rsidR="005C0BB5">
        <w:t>E</w:t>
      </w:r>
      <w:r w:rsidR="001D6126" w:rsidRPr="0073720C">
        <w:t xml:space="preserve">missions </w:t>
      </w:r>
      <w:r w:rsidR="005C0BB5">
        <w:t>C</w:t>
      </w:r>
      <w:r w:rsidR="001D6126" w:rsidRPr="0073720C">
        <w:t xml:space="preserve">ontrol </w:t>
      </w:r>
      <w:r w:rsidR="005C0BB5">
        <w:t>D</w:t>
      </w:r>
      <w:r w:rsidR="001D6126" w:rsidRPr="0073720C">
        <w:t xml:space="preserve">evice with an equivalent removal </w:t>
      </w:r>
      <w:r w:rsidR="00370D32" w:rsidRPr="0073720C">
        <w:t>efficiency, shall</w:t>
      </w:r>
      <w:r>
        <w:t xml:space="preserve"> be used wherever the </w:t>
      </w:r>
      <w:r w:rsidR="00467B13">
        <w:t xml:space="preserve">use </w:t>
      </w:r>
      <w:r>
        <w:t xml:space="preserve">of such a </w:t>
      </w:r>
      <w:r w:rsidR="001E6935">
        <w:t>d</w:t>
      </w:r>
      <w:r>
        <w:t>evice is feasible in the opinion of a Recognized Service Provider.</w:t>
      </w:r>
      <w:r w:rsidR="00E42D55">
        <w:t xml:space="preserve"> </w:t>
      </w:r>
      <w:r>
        <w:t xml:space="preserve"> Both active and passive filter regeneration mechanisms shall be considered for </w:t>
      </w:r>
      <w:proofErr w:type="spellStart"/>
      <w:r>
        <w:t>DPFs</w:t>
      </w:r>
      <w:proofErr w:type="spellEnd"/>
      <w:r w:rsidR="00467B13">
        <w:t>.</w:t>
      </w:r>
    </w:p>
    <w:p w14:paraId="4600C3EF" w14:textId="713E8062" w:rsidR="00C7091D" w:rsidRDefault="00E42D55" w:rsidP="00DA1569">
      <w:pPr>
        <w:pStyle w:val="PR2"/>
      </w:pPr>
      <w:r>
        <w:t>A</w:t>
      </w:r>
      <w:r w:rsidR="00467B13">
        <w:t xml:space="preserve"> </w:t>
      </w:r>
      <w:r w:rsidR="00DA1569">
        <w:t xml:space="preserve">DOC may be used </w:t>
      </w:r>
      <w:bookmarkStart w:id="4" w:name="_Hlk54627065"/>
      <w:r w:rsidR="00190D56">
        <w:t>on a limited basis as described in this section,</w:t>
      </w:r>
      <w:bookmarkEnd w:id="4"/>
      <w:r w:rsidR="00190D56">
        <w:t xml:space="preserve"> </w:t>
      </w:r>
      <w:r w:rsidR="00DA1569">
        <w:t xml:space="preserve">in cases where a </w:t>
      </w:r>
      <w:proofErr w:type="spellStart"/>
      <w:r w:rsidR="00DA1569">
        <w:t>DPF</w:t>
      </w:r>
      <w:proofErr w:type="spellEnd"/>
      <w:r w:rsidR="00DA1569">
        <w:t xml:space="preserve"> is determined by a </w:t>
      </w:r>
      <w:r w:rsidR="00F612EC" w:rsidRPr="00F612EC">
        <w:t>Recognized Service Provider</w:t>
      </w:r>
      <w:r w:rsidR="00F612EC" w:rsidRPr="00F612EC" w:rsidDel="00F612EC">
        <w:t xml:space="preserve"> </w:t>
      </w:r>
      <w:r w:rsidR="00DA1569">
        <w:t xml:space="preserve">to be infeasible for technical or safety reasons.   The </w:t>
      </w:r>
      <w:r w:rsidR="00156FA3">
        <w:t>C</w:t>
      </w:r>
      <w:r w:rsidR="00DA1569">
        <w:t xml:space="preserve">ontractor </w:t>
      </w:r>
      <w:r w:rsidR="00156FA3">
        <w:t>shall</w:t>
      </w:r>
      <w:r w:rsidR="00DA1569">
        <w:t xml:space="preserve"> provide a statement from </w:t>
      </w:r>
      <w:r w:rsidR="00467B13">
        <w:t xml:space="preserve">a </w:t>
      </w:r>
      <w:r w:rsidR="001E6935">
        <w:t xml:space="preserve">Recognized Service Provider </w:t>
      </w:r>
      <w:r w:rsidR="00DA1569">
        <w:t>that</w:t>
      </w:r>
      <w:r w:rsidR="00A86730">
        <w:t xml:space="preserve"> a </w:t>
      </w:r>
      <w:proofErr w:type="spellStart"/>
      <w:r w:rsidR="00A86730">
        <w:t>DPF</w:t>
      </w:r>
      <w:proofErr w:type="spellEnd"/>
      <w:r w:rsidR="00A86730">
        <w:t xml:space="preserve"> is not suitable for the </w:t>
      </w:r>
      <w:r>
        <w:t xml:space="preserve">vehicle or </w:t>
      </w:r>
      <w:r w:rsidR="00A86730">
        <w:t xml:space="preserve">equipment.  </w:t>
      </w:r>
    </w:p>
    <w:p w14:paraId="4B46506D" w14:textId="1E3BC902" w:rsidR="00DA1569" w:rsidRDefault="0035440B" w:rsidP="00DA1569">
      <w:pPr>
        <w:pStyle w:val="PR2"/>
      </w:pPr>
      <w:r>
        <w:t>As of</w:t>
      </w:r>
      <w:r w:rsidRPr="00794149">
        <w:t xml:space="preserve"> </w:t>
      </w:r>
      <w:r w:rsidR="00DA1569" w:rsidRPr="00794149">
        <w:t xml:space="preserve">January 1, </w:t>
      </w:r>
      <w:r w:rsidR="009009DD" w:rsidRPr="00794149">
        <w:t>202</w:t>
      </w:r>
      <w:r w:rsidR="009009DD">
        <w:t>4</w:t>
      </w:r>
      <w:r w:rsidR="00DA1569">
        <w:t>,</w:t>
      </w:r>
      <w:r w:rsidR="00DA1569" w:rsidRPr="00794149">
        <w:t xml:space="preserve"> new DOC retrofits </w:t>
      </w:r>
      <w:r w:rsidR="00C92FBC">
        <w:t>are not</w:t>
      </w:r>
      <w:r w:rsidR="00DA1569" w:rsidRPr="00794149">
        <w:t xml:space="preserve"> allowed</w:t>
      </w:r>
      <w:r w:rsidR="00467B13">
        <w:t xml:space="preserve">.  </w:t>
      </w:r>
    </w:p>
    <w:p w14:paraId="572F657A" w14:textId="02143A98" w:rsidR="008B125A" w:rsidRPr="00794149" w:rsidRDefault="008B125A" w:rsidP="0005452E">
      <w:pPr>
        <w:pStyle w:val="PR2"/>
      </w:pPr>
      <w:r>
        <w:t>Beginning on January 1, 2025, existing DOC</w:t>
      </w:r>
      <w:r w:rsidR="0035440B">
        <w:t xml:space="preserve"> retrofits</w:t>
      </w:r>
      <w:r>
        <w:t xml:space="preserve"> will no longer be allowed except </w:t>
      </w:r>
      <w:r w:rsidR="00E42D55">
        <w:t xml:space="preserve">that </w:t>
      </w:r>
      <w:r w:rsidR="001C0F51">
        <w:t xml:space="preserve">small business </w:t>
      </w:r>
      <w:r w:rsidR="001E6935">
        <w:t>f</w:t>
      </w:r>
      <w:r w:rsidRPr="008B125A">
        <w:t>irms</w:t>
      </w:r>
      <w:r>
        <w:t xml:space="preserve"> </w:t>
      </w:r>
      <w:r w:rsidR="0020590B">
        <w:t>certified</w:t>
      </w:r>
      <w:r w:rsidR="0020590B" w:rsidRPr="00DF0B79">
        <w:t xml:space="preserve"> </w:t>
      </w:r>
      <w:r w:rsidR="0020590B">
        <w:t xml:space="preserve">under a state, federal or veteran-owned program administered </w:t>
      </w:r>
      <w:r w:rsidR="0020590B" w:rsidRPr="00DF0B79">
        <w:t xml:space="preserve">by the Oregon State </w:t>
      </w:r>
      <w:r w:rsidR="0020590B">
        <w:rPr>
          <w:spacing w:val="-6"/>
        </w:rPr>
        <w:t xml:space="preserve">Certification Office for Business Inclusion and </w:t>
      </w:r>
      <w:proofErr w:type="gramStart"/>
      <w:r w:rsidR="0020590B">
        <w:rPr>
          <w:spacing w:val="-6"/>
        </w:rPr>
        <w:t>Diversity</w:t>
      </w:r>
      <w:proofErr w:type="gramEnd"/>
      <w:r w:rsidR="0020590B" w:rsidRPr="00F71733">
        <w:rPr>
          <w:spacing w:val="-6"/>
        </w:rPr>
        <w:t xml:space="preserve"> </w:t>
      </w:r>
      <w:r w:rsidR="0020590B">
        <w:t>or the Washington State Office of Minority &amp; Women’s Business Enterprises</w:t>
      </w:r>
      <w:r w:rsidR="0020590B" w:rsidRPr="00C66434">
        <w:t xml:space="preserve"> </w:t>
      </w:r>
      <w:r>
        <w:t xml:space="preserve">may continue to use </w:t>
      </w:r>
      <w:r w:rsidR="00E42D55">
        <w:t xml:space="preserve">vehicles or </w:t>
      </w:r>
      <w:r>
        <w:t xml:space="preserve">equipment </w:t>
      </w:r>
      <w:r w:rsidRPr="008B125A">
        <w:t>that ha</w:t>
      </w:r>
      <w:r w:rsidR="00E42D55">
        <w:t>ve</w:t>
      </w:r>
      <w:r w:rsidRPr="008B125A">
        <w:t xml:space="preserve"> been retrofitted with a DOC prior to 2024.  </w:t>
      </w:r>
    </w:p>
    <w:p w14:paraId="191AEFE1" w14:textId="45B23D4B" w:rsidR="00DA1569" w:rsidRPr="0022130D" w:rsidRDefault="00DA1569" w:rsidP="00293218">
      <w:pPr>
        <w:pStyle w:val="PR2"/>
      </w:pPr>
      <w:r>
        <w:t xml:space="preserve">Allowable </w:t>
      </w:r>
      <w:proofErr w:type="spellStart"/>
      <w:r>
        <w:t>DPFs</w:t>
      </w:r>
      <w:proofErr w:type="spellEnd"/>
      <w:r>
        <w:t xml:space="preserve"> </w:t>
      </w:r>
      <w:bookmarkStart w:id="5" w:name="_Hlk54623862"/>
      <w:r>
        <w:t>are those</w:t>
      </w:r>
      <w:r w:rsidRPr="00794149">
        <w:t xml:space="preserve"> that are </w:t>
      </w:r>
      <w:r w:rsidR="001E6935">
        <w:t xml:space="preserve">on </w:t>
      </w:r>
      <w:r w:rsidRPr="00794149">
        <w:t xml:space="preserve">the </w:t>
      </w:r>
      <w:bookmarkStart w:id="6" w:name="_Hlk52901654"/>
      <w:bookmarkStart w:id="7" w:name="_Hlk52900084"/>
      <w:r w:rsidRPr="00794149">
        <w:t>EPA</w:t>
      </w:r>
      <w:r w:rsidR="001E6935">
        <w:t xml:space="preserve">’s </w:t>
      </w:r>
      <w:r w:rsidR="00C53FB0" w:rsidRPr="0022130D">
        <w:t xml:space="preserve">and/or </w:t>
      </w:r>
      <w:proofErr w:type="spellStart"/>
      <w:r w:rsidR="00C53FB0" w:rsidRPr="0022130D">
        <w:t>CARB’s</w:t>
      </w:r>
      <w:proofErr w:type="spellEnd"/>
      <w:r w:rsidR="00C53FB0" w:rsidRPr="0022130D">
        <w:t xml:space="preserve"> verified technology list </w:t>
      </w:r>
      <w:r w:rsidR="00370D32" w:rsidRPr="0022130D">
        <w:t>at the time of retrofit acquisition.</w:t>
      </w:r>
      <w:r w:rsidR="00370D32">
        <w:t xml:space="preserve">  </w:t>
      </w:r>
      <w:bookmarkEnd w:id="5"/>
      <w:bookmarkEnd w:id="6"/>
      <w:bookmarkEnd w:id="7"/>
    </w:p>
    <w:p w14:paraId="305A4E9C" w14:textId="703D4280" w:rsidR="00A86730" w:rsidRDefault="00A86730" w:rsidP="009447AC">
      <w:pPr>
        <w:pStyle w:val="PR2"/>
      </w:pPr>
      <w:r>
        <w:t xml:space="preserve">Allowable </w:t>
      </w:r>
      <w:proofErr w:type="spellStart"/>
      <w:r>
        <w:t>DOCs</w:t>
      </w:r>
      <w:proofErr w:type="spellEnd"/>
      <w:r>
        <w:t xml:space="preserve"> for </w:t>
      </w:r>
      <w:bookmarkStart w:id="8" w:name="_Hlk54627379"/>
      <w:r w:rsidR="00190D56">
        <w:t>o</w:t>
      </w:r>
      <w:r w:rsidRPr="00A86730">
        <w:t>n</w:t>
      </w:r>
      <w:r w:rsidR="00CF5EB3">
        <w:t>-</w:t>
      </w:r>
      <w:r w:rsidRPr="00A86730">
        <w:t xml:space="preserve">road </w:t>
      </w:r>
      <w:r w:rsidR="00190D56">
        <w:t>c</w:t>
      </w:r>
      <w:r w:rsidRPr="00A86730">
        <w:t xml:space="preserve">oncrete </w:t>
      </w:r>
      <w:r w:rsidR="00190D56">
        <w:t>m</w:t>
      </w:r>
      <w:r w:rsidRPr="00A86730">
        <w:t xml:space="preserve">ixers and </w:t>
      </w:r>
      <w:r w:rsidR="00190D56">
        <w:t>d</w:t>
      </w:r>
      <w:r w:rsidRPr="00A86730">
        <w:t xml:space="preserve">ump </w:t>
      </w:r>
      <w:r w:rsidR="00190D56">
        <w:t>t</w:t>
      </w:r>
      <w:r w:rsidRPr="00A86730">
        <w:t>rucks</w:t>
      </w:r>
      <w:r>
        <w:t xml:space="preserve"> </w:t>
      </w:r>
      <w:bookmarkEnd w:id="8"/>
      <w:r w:rsidRPr="00A86730">
        <w:t xml:space="preserve">are those that are </w:t>
      </w:r>
      <w:r w:rsidR="00CF5EB3">
        <w:t xml:space="preserve">on </w:t>
      </w:r>
      <w:r w:rsidRPr="00A86730">
        <w:t>the EPA</w:t>
      </w:r>
      <w:r w:rsidR="00CF5EB3">
        <w:t xml:space="preserve">’s </w:t>
      </w:r>
      <w:r w:rsidRPr="00A86730">
        <w:t xml:space="preserve">Verified Retrofit Technology List and </w:t>
      </w:r>
      <w:proofErr w:type="spellStart"/>
      <w:r w:rsidR="00CF5EB3">
        <w:t>CARB’s</w:t>
      </w:r>
      <w:proofErr w:type="spellEnd"/>
      <w:r w:rsidR="00CF5EB3">
        <w:t xml:space="preserve"> then-current </w:t>
      </w:r>
      <w:r w:rsidRPr="00A86730">
        <w:t xml:space="preserve">list of </w:t>
      </w:r>
      <w:r w:rsidR="0046550A">
        <w:t>v</w:t>
      </w:r>
      <w:r w:rsidRPr="00A86730">
        <w:t>erified retrofits.</w:t>
      </w:r>
    </w:p>
    <w:p w14:paraId="3971402A" w14:textId="47BF9154" w:rsidR="00DA1569" w:rsidRDefault="00DA1569" w:rsidP="00770739">
      <w:pPr>
        <w:pStyle w:val="PR2"/>
      </w:pPr>
      <w:r>
        <w:lastRenderedPageBreak/>
        <w:t xml:space="preserve">All </w:t>
      </w:r>
      <w:proofErr w:type="spellStart"/>
      <w:r>
        <w:t>BACT</w:t>
      </w:r>
      <w:proofErr w:type="spellEnd"/>
      <w:r>
        <w:t xml:space="preserve"> </w:t>
      </w:r>
      <w:r w:rsidR="0046550A">
        <w:t>d</w:t>
      </w:r>
      <w:r>
        <w:t>evices shall be maintained in good working order for the duration of the project.</w:t>
      </w:r>
    </w:p>
    <w:p w14:paraId="186E9662" w14:textId="41E9F85A" w:rsidR="00CC7D88" w:rsidRDefault="008F16D9" w:rsidP="00D81692">
      <w:pPr>
        <w:pStyle w:val="ART"/>
        <w:ind w:hanging="6714"/>
      </w:pPr>
      <w:r>
        <w:t xml:space="preserve">VEHICLE AND </w:t>
      </w:r>
      <w:r w:rsidR="00CC7D88" w:rsidRPr="00151393">
        <w:t>EQUIPMENT REGISTRATION</w:t>
      </w:r>
    </w:p>
    <w:p w14:paraId="658BFCA6" w14:textId="66F9BDCC" w:rsidR="00CC7D88" w:rsidRPr="00CC7D88" w:rsidRDefault="005D1DFE" w:rsidP="00CC7D88">
      <w:pPr>
        <w:pStyle w:val="PR1"/>
      </w:pPr>
      <w:r>
        <w:t>At least</w:t>
      </w:r>
      <w:r w:rsidR="001346B5">
        <w:t xml:space="preserve"> 45 </w:t>
      </w:r>
      <w:r w:rsidR="00D605D5">
        <w:t xml:space="preserve">days prior to commencing work, the Contractor shall submit a vehicle plan showing all </w:t>
      </w:r>
      <w:r w:rsidR="008F16D9">
        <w:t xml:space="preserve">applicable </w:t>
      </w:r>
      <w:r w:rsidR="00D605D5">
        <w:t xml:space="preserve">vehicles and equipment to be used on the work site.  </w:t>
      </w:r>
      <w:r w:rsidR="003469F7">
        <w:t>I</w:t>
      </w:r>
      <w:r w:rsidR="00D605D5">
        <w:t xml:space="preserve">nclude information showing the registration of all </w:t>
      </w:r>
      <w:r w:rsidR="008F16D9">
        <w:t xml:space="preserve">applicable vehicles and </w:t>
      </w:r>
      <w:r w:rsidR="00D605D5">
        <w:t xml:space="preserve">equipment in the database located </w:t>
      </w:r>
      <w:r w:rsidR="000F6E21">
        <w:t>on</w:t>
      </w:r>
      <w:r w:rsidR="00D605D5">
        <w:t xml:space="preserve"> the Clean Air </w:t>
      </w:r>
      <w:r w:rsidR="001346B5">
        <w:t>Construction</w:t>
      </w:r>
      <w:r w:rsidR="00D605D5">
        <w:t xml:space="preserve"> Standards website at </w:t>
      </w:r>
      <w:hyperlink r:id="rId11" w:history="1">
        <w:r w:rsidR="00D605D5" w:rsidRPr="00D67CA4">
          <w:rPr>
            <w:rStyle w:val="Hyperlink"/>
          </w:rPr>
          <w:t>www.Portland.gov/cac/TheYard</w:t>
        </w:r>
      </w:hyperlink>
      <w:r w:rsidR="005C155E">
        <w:t>.</w:t>
      </w:r>
      <w:r w:rsidR="00D605D5">
        <w:t xml:space="preserve"> </w:t>
      </w:r>
      <w:r w:rsidR="001A2085">
        <w:t xml:space="preserve"> </w:t>
      </w:r>
      <w:r w:rsidR="005C155E">
        <w:t xml:space="preserve">The Contractor </w:t>
      </w:r>
      <w:r w:rsidR="001A2085">
        <w:t>shall</w:t>
      </w:r>
      <w:r w:rsidR="005C155E">
        <w:t xml:space="preserve"> </w:t>
      </w:r>
      <w:r w:rsidR="00D605D5">
        <w:t xml:space="preserve">ensure that all subcontractors register their applicable vehicles and equipment </w:t>
      </w:r>
      <w:r w:rsidR="008F16D9">
        <w:t xml:space="preserve">in the same manner </w:t>
      </w:r>
      <w:r w:rsidR="00D605D5">
        <w:t xml:space="preserve">within </w:t>
      </w:r>
      <w:r w:rsidR="005C155E">
        <w:t xml:space="preserve">the same </w:t>
      </w:r>
      <w:r w:rsidR="00D605D5">
        <w:t xml:space="preserve">period.  No work shall commence until </w:t>
      </w:r>
      <w:r w:rsidR="005C155E">
        <w:t xml:space="preserve">the Port has verified </w:t>
      </w:r>
      <w:r w:rsidR="00D605D5">
        <w:t xml:space="preserve">compliance with </w:t>
      </w:r>
      <w:r w:rsidR="008F16D9">
        <w:t xml:space="preserve">the registration </w:t>
      </w:r>
      <w:r w:rsidR="00D605D5">
        <w:t>requirements</w:t>
      </w:r>
      <w:r w:rsidR="008F16D9">
        <w:t xml:space="preserve"> set forth in this subsection</w:t>
      </w:r>
      <w:r w:rsidR="00D605D5">
        <w:t xml:space="preserve">.  </w:t>
      </w:r>
      <w:r w:rsidR="00D605D5" w:rsidRPr="00CC7D88">
        <w:t xml:space="preserve">Required </w:t>
      </w:r>
      <w:r w:rsidR="00D605D5">
        <w:t xml:space="preserve">vehicle/equipment </w:t>
      </w:r>
      <w:r w:rsidR="00D605D5" w:rsidRPr="00CC7D88">
        <w:t>informatio</w:t>
      </w:r>
      <w:r w:rsidR="001346B5">
        <w:t>n</w:t>
      </w:r>
      <w:r w:rsidR="00D605D5">
        <w:t xml:space="preserve"> </w:t>
      </w:r>
      <w:r w:rsidR="00CC7D88" w:rsidRPr="00CC7D88">
        <w:t xml:space="preserve">includes: </w:t>
      </w:r>
    </w:p>
    <w:p w14:paraId="46685E58" w14:textId="477EB166" w:rsidR="00CC7D88" w:rsidRDefault="00EE000E" w:rsidP="00CC7D88">
      <w:pPr>
        <w:pStyle w:val="PR2"/>
      </w:pPr>
      <w:r>
        <w:t>O</w:t>
      </w:r>
      <w:r w:rsidR="00CC7D88">
        <w:t>wner name or rental agency name.</w:t>
      </w:r>
    </w:p>
    <w:p w14:paraId="2CF84158" w14:textId="62686853" w:rsidR="00CC7D88" w:rsidRDefault="00EE000E" w:rsidP="00CC7D88">
      <w:pPr>
        <w:pStyle w:val="PR2"/>
      </w:pPr>
      <w:r>
        <w:t>O</w:t>
      </w:r>
      <w:r w:rsidR="00CC7D88">
        <w:t>wner role (</w:t>
      </w:r>
      <w:r w:rsidR="00EF0AA5">
        <w:t xml:space="preserve">e.g., </w:t>
      </w:r>
      <w:r w:rsidR="00BB0FD1">
        <w:t>C</w:t>
      </w:r>
      <w:r w:rsidR="00CC7D88">
        <w:t>ontractor, subcontractor, supplier).</w:t>
      </w:r>
    </w:p>
    <w:p w14:paraId="4AEF8B9C" w14:textId="5A7722ED" w:rsidR="00CC7D88" w:rsidRDefault="00EE000E" w:rsidP="00CC7D88">
      <w:pPr>
        <w:pStyle w:val="PR2"/>
      </w:pPr>
      <w:r>
        <w:t>T</w:t>
      </w:r>
      <w:r w:rsidR="00CC7D88">
        <w:t>ype (e.g., excavator, dozer, loader).</w:t>
      </w:r>
    </w:p>
    <w:p w14:paraId="62CBB3D1" w14:textId="609B70E0" w:rsidR="00CC7D88" w:rsidRDefault="00CC7D88" w:rsidP="00CC7D88">
      <w:pPr>
        <w:pStyle w:val="PR2"/>
      </w:pPr>
      <w:r>
        <w:t>Engine information including manufacturer, serial number, and family number (</w:t>
      </w:r>
      <w:r w:rsidR="00EF0AA5">
        <w:t>i</w:t>
      </w:r>
      <w:r w:rsidRPr="007501B1">
        <w:t>nformation on locating engine information is provided in the Clean Air Construction Standards website</w:t>
      </w:r>
      <w:r>
        <w:t>).</w:t>
      </w:r>
    </w:p>
    <w:p w14:paraId="0A947C0B" w14:textId="2783B1B8" w:rsidR="00CC7D88" w:rsidRDefault="00CC7D88" w:rsidP="00CC7D88">
      <w:pPr>
        <w:pStyle w:val="PR2"/>
      </w:pPr>
      <w:r>
        <w:t xml:space="preserve">On-road or </w:t>
      </w:r>
      <w:r w:rsidR="00EE000E">
        <w:t>n</w:t>
      </w:r>
      <w:r w:rsidR="00445967">
        <w:t>onroad</w:t>
      </w:r>
      <w:r>
        <w:t>.</w:t>
      </w:r>
    </w:p>
    <w:p w14:paraId="026A879C" w14:textId="18F0E2B2" w:rsidR="00CC7D88" w:rsidRDefault="00CC7D88" w:rsidP="00CC7D88">
      <w:pPr>
        <w:pStyle w:val="PR2"/>
      </w:pPr>
      <w:r>
        <w:t>Model year.</w:t>
      </w:r>
    </w:p>
    <w:p w14:paraId="4BE10A78" w14:textId="681BF255" w:rsidR="00CC7D88" w:rsidRDefault="00CC7D88" w:rsidP="00CC7D88">
      <w:pPr>
        <w:pStyle w:val="PR2"/>
      </w:pPr>
      <w:r>
        <w:t>Horsepower.</w:t>
      </w:r>
    </w:p>
    <w:p w14:paraId="135B6A2D" w14:textId="659D9E25" w:rsidR="00CC7D88" w:rsidRDefault="00CC7D88" w:rsidP="00CC7D88">
      <w:pPr>
        <w:pStyle w:val="PR2"/>
      </w:pPr>
      <w:r>
        <w:t xml:space="preserve">Diesel Engines:  </w:t>
      </w:r>
      <w:r w:rsidR="002B1C49">
        <w:t>Indicate whether a</w:t>
      </w:r>
      <w:r>
        <w:t xml:space="preserve">ny </w:t>
      </w:r>
      <w:r w:rsidR="0068545D">
        <w:t>EPA</w:t>
      </w:r>
      <w:r w:rsidR="00127878">
        <w:t>-</w:t>
      </w:r>
      <w:r w:rsidR="0068545D">
        <w:t xml:space="preserve"> or CARB</w:t>
      </w:r>
      <w:r w:rsidR="00EE000E">
        <w:t>-</w:t>
      </w:r>
      <w:r w:rsidR="0005452E">
        <w:t xml:space="preserve">verified </w:t>
      </w:r>
      <w:r>
        <w:t>aftermarket emissions control devices</w:t>
      </w:r>
      <w:r w:rsidR="002B1C49">
        <w:t xml:space="preserve"> have been</w:t>
      </w:r>
      <w:r>
        <w:t xml:space="preserve"> installed</w:t>
      </w:r>
      <w:r w:rsidR="00EF0AA5">
        <w:t>,</w:t>
      </w:r>
      <w:r w:rsidR="002B1C49">
        <w:t xml:space="preserve"> and the</w:t>
      </w:r>
      <w:r>
        <w:t xml:space="preserve"> type of control device</w:t>
      </w:r>
      <w:r w:rsidR="00F069D0">
        <w:t xml:space="preserve"> </w:t>
      </w:r>
      <w:r w:rsidR="002B1C49">
        <w:t>(</w:t>
      </w:r>
      <w:proofErr w:type="spellStart"/>
      <w:r w:rsidR="00F069D0">
        <w:t>DPF</w:t>
      </w:r>
      <w:proofErr w:type="spellEnd"/>
      <w:r w:rsidR="00F069D0">
        <w:t xml:space="preserve"> or DOC</w:t>
      </w:r>
      <w:r>
        <w:t>).</w:t>
      </w:r>
    </w:p>
    <w:p w14:paraId="131D5AD7" w14:textId="1C7BCD53" w:rsidR="00CC7D88" w:rsidRDefault="00CC7D88" w:rsidP="00D81692">
      <w:pPr>
        <w:pStyle w:val="ART"/>
        <w:ind w:hanging="6714"/>
      </w:pPr>
      <w:r>
        <w:t>WAIVERS</w:t>
      </w:r>
      <w:r w:rsidR="002F14E9">
        <w:t>; EXEMPTION</w:t>
      </w:r>
    </w:p>
    <w:p w14:paraId="683294E3" w14:textId="21CFF7C7" w:rsidR="00CC7D88" w:rsidRDefault="008F16D9" w:rsidP="00CC7D88">
      <w:pPr>
        <w:pStyle w:val="PR1"/>
      </w:pPr>
      <w:r>
        <w:t xml:space="preserve">When submitting </w:t>
      </w:r>
      <w:r w:rsidRPr="008F16D9">
        <w:t xml:space="preserve">the </w:t>
      </w:r>
      <w:r>
        <w:t xml:space="preserve">vehicle plan required under </w:t>
      </w:r>
      <w:r w:rsidR="00D81692">
        <w:t>Article</w:t>
      </w:r>
      <w:r w:rsidRPr="008F16D9">
        <w:t xml:space="preserve"> 1.</w:t>
      </w:r>
      <w:r w:rsidR="00274C92">
        <w:t>7</w:t>
      </w:r>
      <w:r w:rsidRPr="008F16D9">
        <w:t>,</w:t>
      </w:r>
      <w:r>
        <w:t xml:space="preserve"> t</w:t>
      </w:r>
      <w:r w:rsidR="00CC7D88">
        <w:t xml:space="preserve">he Contractor </w:t>
      </w:r>
      <w:r w:rsidR="004E2E88">
        <w:t xml:space="preserve">may </w:t>
      </w:r>
      <w:r w:rsidR="00CC7D88">
        <w:t xml:space="preserve">request a waiver </w:t>
      </w:r>
      <w:r>
        <w:t xml:space="preserve">from </w:t>
      </w:r>
      <w:r w:rsidR="00CC7D88">
        <w:t xml:space="preserve">the Port for each </w:t>
      </w:r>
      <w:r w:rsidR="00033AA9">
        <w:t xml:space="preserve">vehicle or </w:t>
      </w:r>
      <w:r w:rsidR="00CC7D88">
        <w:t>piece of equipment</w:t>
      </w:r>
      <w:r w:rsidR="0068545D">
        <w:t xml:space="preserve"> </w:t>
      </w:r>
      <w:r w:rsidR="00CC7D88">
        <w:t xml:space="preserve">that cannot meet the engine </w:t>
      </w:r>
      <w:r w:rsidR="001C0F51">
        <w:t xml:space="preserve">emissions </w:t>
      </w:r>
      <w:r w:rsidR="00BB0FD1">
        <w:t>t</w:t>
      </w:r>
      <w:r w:rsidR="00CC7D88">
        <w:t xml:space="preserve">ier or </w:t>
      </w:r>
      <w:proofErr w:type="spellStart"/>
      <w:r w:rsidR="00CC7D88">
        <w:t>BACT</w:t>
      </w:r>
      <w:proofErr w:type="spellEnd"/>
      <w:r w:rsidR="00CC7D88">
        <w:t xml:space="preserve"> requirements</w:t>
      </w:r>
      <w:r w:rsidR="004E2E88">
        <w:t xml:space="preserve"> set forth in this section</w:t>
      </w:r>
      <w:r w:rsidR="00CC7D88">
        <w:t>.  All technology and safety</w:t>
      </w:r>
      <w:r>
        <w:t>-based</w:t>
      </w:r>
      <w:r w:rsidR="00CC7D88">
        <w:t xml:space="preserve"> waiver requests shall be accompanied by a written statement</w:t>
      </w:r>
      <w:r w:rsidR="00CC7D88" w:rsidRPr="001C393A">
        <w:t xml:space="preserve"> </w:t>
      </w:r>
      <w:r w:rsidR="00CC7D88">
        <w:t xml:space="preserve">from a </w:t>
      </w:r>
      <w:r w:rsidR="004E2E88">
        <w:t>Recognized Service Provider</w:t>
      </w:r>
      <w:r w:rsidR="00CC7D88">
        <w:t xml:space="preserve"> substantiating the basis of the waiver request.  </w:t>
      </w:r>
      <w:r w:rsidR="00352D0C">
        <w:t xml:space="preserve">The </w:t>
      </w:r>
      <w:r w:rsidR="00033AA9">
        <w:t xml:space="preserve">Contractor </w:t>
      </w:r>
      <w:r w:rsidR="00F71818">
        <w:t xml:space="preserve">shall </w:t>
      </w:r>
      <w:r w:rsidR="00033AA9">
        <w:t xml:space="preserve">receive an </w:t>
      </w:r>
      <w:r w:rsidR="00CC7D88">
        <w:t xml:space="preserve">approved waiver from the Port </w:t>
      </w:r>
      <w:r w:rsidR="00033AA9">
        <w:t xml:space="preserve">before </w:t>
      </w:r>
      <w:r w:rsidR="00CC7D88">
        <w:t xml:space="preserve">bringing any non-compliant </w:t>
      </w:r>
      <w:r w:rsidR="00033AA9">
        <w:t xml:space="preserve">vehicle or </w:t>
      </w:r>
      <w:r w:rsidR="00CC7D88">
        <w:t xml:space="preserve">piece of equipment to the work site.  </w:t>
      </w:r>
    </w:p>
    <w:p w14:paraId="7786BDCD" w14:textId="789268EE" w:rsidR="00CC7D88" w:rsidRDefault="00CC7D88" w:rsidP="00CC7D88">
      <w:pPr>
        <w:pStyle w:val="PR1"/>
      </w:pPr>
      <w:r w:rsidRPr="00CC7D88">
        <w:t xml:space="preserve">Technology </w:t>
      </w:r>
      <w:r>
        <w:t>W</w:t>
      </w:r>
      <w:r w:rsidRPr="00CC7D88">
        <w:t>aiver</w:t>
      </w:r>
      <w:r>
        <w:t xml:space="preserve">.  </w:t>
      </w:r>
      <w:r w:rsidR="007571DB">
        <w:t>A</w:t>
      </w:r>
      <w:r>
        <w:t xml:space="preserve"> technology waiver </w:t>
      </w:r>
      <w:r w:rsidR="007571DB">
        <w:t xml:space="preserve">may be granted </w:t>
      </w:r>
      <w:r>
        <w:t>when:</w:t>
      </w:r>
    </w:p>
    <w:p w14:paraId="072C4C8D" w14:textId="2CBB94AC" w:rsidR="00CC7D88" w:rsidRDefault="00CC7D88" w:rsidP="00CC7D88">
      <w:pPr>
        <w:pStyle w:val="PR2"/>
      </w:pPr>
      <w:r>
        <w:t xml:space="preserve">The </w:t>
      </w:r>
      <w:r w:rsidR="00982FEA">
        <w:t xml:space="preserve">vehicle or </w:t>
      </w:r>
      <w:r>
        <w:t>equipment cannot be retrofit</w:t>
      </w:r>
      <w:r w:rsidR="004E2E88">
        <w:t>ted</w:t>
      </w:r>
      <w:r>
        <w:t xml:space="preserve"> with </w:t>
      </w:r>
      <w:proofErr w:type="spellStart"/>
      <w:r>
        <w:t>BACT</w:t>
      </w:r>
      <w:proofErr w:type="spellEnd"/>
      <w:r>
        <w:t xml:space="preserve"> </w:t>
      </w:r>
      <w:r w:rsidR="00982FEA">
        <w:t xml:space="preserve">device </w:t>
      </w:r>
      <w:r>
        <w:t xml:space="preserve">for </w:t>
      </w:r>
      <w:r w:rsidR="0068545D">
        <w:t xml:space="preserve">a valid </w:t>
      </w:r>
      <w:r>
        <w:t>mechanical reason.</w:t>
      </w:r>
    </w:p>
    <w:p w14:paraId="49816010" w14:textId="3EA07A97" w:rsidR="00CC7D88" w:rsidRDefault="00CC7D88" w:rsidP="00CC7D88">
      <w:pPr>
        <w:pStyle w:val="PR2"/>
      </w:pPr>
      <w:r>
        <w:t>A retrofit</w:t>
      </w:r>
      <w:r w:rsidR="0068545D">
        <w:t>ted</w:t>
      </w:r>
      <w:r>
        <w:t xml:space="preserve"> </w:t>
      </w:r>
      <w:r w:rsidR="0068545D">
        <w:t>engine</w:t>
      </w:r>
      <w:r w:rsidR="00982FEA">
        <w:t xml:space="preserve"> </w:t>
      </w:r>
      <w:r w:rsidR="0068545D">
        <w:t>would not function properly</w:t>
      </w:r>
      <w:r>
        <w:t>.</w:t>
      </w:r>
    </w:p>
    <w:p w14:paraId="034F316A" w14:textId="3DF9B9A3" w:rsidR="00CC7D88" w:rsidRDefault="00CC7D88" w:rsidP="00CC7D88">
      <w:pPr>
        <w:pStyle w:val="PR2"/>
      </w:pPr>
      <w:r>
        <w:t>A retrofit device would void the engine warranty.</w:t>
      </w:r>
    </w:p>
    <w:p w14:paraId="10275CB1" w14:textId="4054F7FD" w:rsidR="00CC7D88" w:rsidRDefault="00CC7D88" w:rsidP="00CC7D88">
      <w:pPr>
        <w:pStyle w:val="PR2"/>
      </w:pPr>
      <w:r>
        <w:t>No EPA</w:t>
      </w:r>
      <w:r w:rsidR="00702AEF">
        <w:t>-</w:t>
      </w:r>
      <w:r>
        <w:t xml:space="preserve"> or CARB</w:t>
      </w:r>
      <w:r w:rsidR="004E2E88">
        <w:t>-</w:t>
      </w:r>
      <w:r>
        <w:t xml:space="preserve">certified </w:t>
      </w:r>
      <w:proofErr w:type="spellStart"/>
      <w:r w:rsidR="00287522">
        <w:t>BACT</w:t>
      </w:r>
      <w:proofErr w:type="spellEnd"/>
      <w:r w:rsidR="00287522">
        <w:t xml:space="preserve"> </w:t>
      </w:r>
      <w:r>
        <w:t>device exists for the specific engine.</w:t>
      </w:r>
    </w:p>
    <w:p w14:paraId="511BBA15" w14:textId="769D5616" w:rsidR="00CC7D88" w:rsidRDefault="00CC7D88" w:rsidP="00CC7D88">
      <w:pPr>
        <w:pStyle w:val="PR2"/>
      </w:pPr>
      <w:r>
        <w:t xml:space="preserve">No compliant rental equipment is available within 100 miles of the </w:t>
      </w:r>
      <w:r w:rsidR="00185ACA">
        <w:t xml:space="preserve">work </w:t>
      </w:r>
      <w:r>
        <w:t>site.</w:t>
      </w:r>
    </w:p>
    <w:p w14:paraId="2FBEA8EC" w14:textId="2C10003E" w:rsidR="00CC7D88" w:rsidRDefault="00CC7D88" w:rsidP="00FA72F1">
      <w:pPr>
        <w:pStyle w:val="PR1"/>
      </w:pPr>
      <w:r w:rsidRPr="00CC7D88">
        <w:t xml:space="preserve">Safety </w:t>
      </w:r>
      <w:r>
        <w:t>W</w:t>
      </w:r>
      <w:r w:rsidRPr="00CC7D88">
        <w:t>aiver</w:t>
      </w:r>
      <w:r>
        <w:t xml:space="preserve">.  The </w:t>
      </w:r>
      <w:r w:rsidR="00982FEA">
        <w:t xml:space="preserve">vehicle or </w:t>
      </w:r>
      <w:r>
        <w:t xml:space="preserve">equipment may qualify for a safety waiver when the required </w:t>
      </w:r>
      <w:proofErr w:type="spellStart"/>
      <w:r w:rsidR="00287522">
        <w:t>BACT</w:t>
      </w:r>
      <w:proofErr w:type="spellEnd"/>
      <w:r w:rsidR="00287522">
        <w:t xml:space="preserve"> </w:t>
      </w:r>
      <w:r w:rsidR="00982FEA">
        <w:t xml:space="preserve">device </w:t>
      </w:r>
      <w:r>
        <w:t>would obscure operator lines of sight or otherwise impact worker safety</w:t>
      </w:r>
      <w:r w:rsidR="00CB5C3A">
        <w:t>.</w:t>
      </w:r>
    </w:p>
    <w:p w14:paraId="7CE624E2" w14:textId="4B4E1F17" w:rsidR="00FA72F1" w:rsidRDefault="00FA72F1" w:rsidP="00FA72F1">
      <w:pPr>
        <w:pStyle w:val="PR1"/>
      </w:pPr>
      <w:r w:rsidRPr="00FA72F1">
        <w:t xml:space="preserve">Unique Circumstances Waiver.  A waiver may be provided by the Port </w:t>
      </w:r>
      <w:proofErr w:type="gramStart"/>
      <w:r w:rsidRPr="00FA72F1">
        <w:t>during the course of</w:t>
      </w:r>
      <w:proofErr w:type="gramEnd"/>
      <w:r w:rsidRPr="00FA72F1">
        <w:t xml:space="preserve"> the project when a noncompliant vehicle or piece of equipment is required to respond to an emergency, as a substitute for another vehicle or piece of equipment in need of </w:t>
      </w:r>
      <w:r w:rsidRPr="00FA72F1">
        <w:lastRenderedPageBreak/>
        <w:t>repair/maintenance, or other unforeseen circumstance.  In such cases, the Contractor may orally request approval for an exemption, then must also provide a written waiver request after initial oral approval.  Such exemptions shall be valid only for the duration of the unique circumstance provided for under this paragraph.</w:t>
      </w:r>
    </w:p>
    <w:p w14:paraId="6E080199" w14:textId="77777777" w:rsidR="00F069D0" w:rsidRDefault="00CC7D88" w:rsidP="00D81692">
      <w:pPr>
        <w:pStyle w:val="ART"/>
        <w:ind w:hanging="6714"/>
      </w:pPr>
      <w:r>
        <w:t>COMPLIANCE</w:t>
      </w:r>
    </w:p>
    <w:p w14:paraId="38335F68" w14:textId="5E922A45" w:rsidR="00F069D0" w:rsidRDefault="00470D4A" w:rsidP="00F069D0">
      <w:pPr>
        <w:pStyle w:val="PR1"/>
      </w:pPr>
      <w:r w:rsidRPr="00470D4A">
        <w:t xml:space="preserve">Should the </w:t>
      </w:r>
      <w:r w:rsidR="005828AC">
        <w:t>Port</w:t>
      </w:r>
      <w:r w:rsidRPr="00470D4A">
        <w:t xml:space="preserve"> discover, </w:t>
      </w:r>
      <w:proofErr w:type="gramStart"/>
      <w:r w:rsidRPr="00470D4A">
        <w:t>during the course of</w:t>
      </w:r>
      <w:proofErr w:type="gramEnd"/>
      <w:r w:rsidRPr="00470D4A">
        <w:t xml:space="preserve"> the project, that the Contractor</w:t>
      </w:r>
      <w:r w:rsidR="00115A5E">
        <w:t xml:space="preserve"> or its</w:t>
      </w:r>
      <w:r w:rsidRPr="00470D4A">
        <w:t xml:space="preserve"> </w:t>
      </w:r>
      <w:r w:rsidR="005828AC">
        <w:t>s</w:t>
      </w:r>
      <w:r w:rsidRPr="00470D4A">
        <w:t>ubcontractor</w:t>
      </w:r>
      <w:r w:rsidR="00115A5E">
        <w:t>s</w:t>
      </w:r>
      <w:r w:rsidRPr="00470D4A">
        <w:t xml:space="preserve"> or </w:t>
      </w:r>
      <w:r w:rsidR="005828AC">
        <w:t>s</w:t>
      </w:r>
      <w:r w:rsidRPr="00470D4A">
        <w:t>upplier</w:t>
      </w:r>
      <w:r w:rsidR="00115A5E">
        <w:t>s</w:t>
      </w:r>
      <w:r w:rsidRPr="00470D4A">
        <w:t xml:space="preserve"> </w:t>
      </w:r>
      <w:r w:rsidR="00115A5E">
        <w:t>are</w:t>
      </w:r>
      <w:r w:rsidR="00115A5E" w:rsidRPr="00470D4A">
        <w:t xml:space="preserve"> </w:t>
      </w:r>
      <w:r w:rsidRPr="00470D4A">
        <w:t xml:space="preserve">violating </w:t>
      </w:r>
      <w:r w:rsidR="00914E20">
        <w:t xml:space="preserve">any </w:t>
      </w:r>
      <w:r w:rsidRPr="00470D4A">
        <w:t xml:space="preserve">requirements </w:t>
      </w:r>
      <w:r w:rsidR="00914E20">
        <w:t xml:space="preserve">set forth </w:t>
      </w:r>
      <w:r w:rsidR="00F069D0">
        <w:t>in this section</w:t>
      </w:r>
      <w:r w:rsidRPr="00470D4A">
        <w:t xml:space="preserve">, the </w:t>
      </w:r>
      <w:r w:rsidR="005828AC">
        <w:t>Port</w:t>
      </w:r>
      <w:r w:rsidRPr="00470D4A">
        <w:t xml:space="preserve"> may issue a </w:t>
      </w:r>
      <w:r w:rsidR="00115A5E">
        <w:t>notice to the Contractor</w:t>
      </w:r>
      <w:r w:rsidRPr="00470D4A">
        <w:t xml:space="preserve"> stat</w:t>
      </w:r>
      <w:r w:rsidR="00115A5E">
        <w:t>ing</w:t>
      </w:r>
      <w:r w:rsidRPr="00470D4A">
        <w:t xml:space="preserve"> the specifics of the violation and the timeframe within which the Contractor </w:t>
      </w:r>
      <w:r w:rsidR="00914E20">
        <w:t xml:space="preserve">must </w:t>
      </w:r>
      <w:r w:rsidRPr="00470D4A">
        <w:t xml:space="preserve">remedy the violation.  The remedy timeframe </w:t>
      </w:r>
      <w:r w:rsidR="00F93C86">
        <w:t>will</w:t>
      </w:r>
      <w:r w:rsidR="00F93C86" w:rsidRPr="00470D4A">
        <w:t xml:space="preserve"> </w:t>
      </w:r>
      <w:r w:rsidRPr="00470D4A">
        <w:t xml:space="preserve">not exceed </w:t>
      </w:r>
      <w:r w:rsidR="00FD0125">
        <w:t xml:space="preserve">30 </w:t>
      </w:r>
      <w:r w:rsidRPr="00470D4A">
        <w:t xml:space="preserve">days.  If the Contractor fails to remedy the violation </w:t>
      </w:r>
      <w:r w:rsidR="00115A5E">
        <w:t>in accordance with</w:t>
      </w:r>
      <w:r w:rsidR="00115A5E" w:rsidRPr="00470D4A">
        <w:t xml:space="preserve"> </w:t>
      </w:r>
      <w:r w:rsidRPr="00470D4A">
        <w:t xml:space="preserve">the </w:t>
      </w:r>
      <w:r w:rsidR="00115A5E">
        <w:t>Port’s n</w:t>
      </w:r>
      <w:r w:rsidRPr="00470D4A">
        <w:t xml:space="preserve">otice, the </w:t>
      </w:r>
      <w:r w:rsidR="005828AC">
        <w:t>Port</w:t>
      </w:r>
      <w:r w:rsidRPr="00470D4A">
        <w:t xml:space="preserve"> may </w:t>
      </w:r>
      <w:r w:rsidR="00115A5E">
        <w:t>order the Contractor to stop</w:t>
      </w:r>
      <w:r w:rsidRPr="00470D4A">
        <w:t xml:space="preserve"> work until the violation is remedied</w:t>
      </w:r>
      <w:r w:rsidR="00982FEA">
        <w:t>, or exercise other remedies available to the Port under this contract</w:t>
      </w:r>
      <w:r w:rsidRPr="00470D4A">
        <w:t xml:space="preserve">.  </w:t>
      </w:r>
      <w:bookmarkStart w:id="9" w:name="_Toc535227300"/>
      <w:bookmarkStart w:id="10" w:name="_Toc535227308"/>
      <w:bookmarkStart w:id="11" w:name="_Toc535227331"/>
      <w:bookmarkStart w:id="12" w:name="_Toc535227332"/>
      <w:bookmarkStart w:id="13" w:name="_Toc535227340"/>
      <w:bookmarkEnd w:id="9"/>
      <w:bookmarkEnd w:id="10"/>
      <w:bookmarkEnd w:id="11"/>
      <w:bookmarkEnd w:id="12"/>
      <w:bookmarkEnd w:id="13"/>
      <w:r w:rsidR="0059437F" w:rsidRPr="0059437F">
        <w:rPr>
          <w:szCs w:val="22"/>
        </w:rPr>
        <w:t xml:space="preserve"> </w:t>
      </w:r>
      <w:r w:rsidR="0059437F" w:rsidRPr="00A64A35">
        <w:rPr>
          <w:szCs w:val="22"/>
        </w:rPr>
        <w:t xml:space="preserve">The Contractor will not be allowed an extension of the </w:t>
      </w:r>
      <w:r w:rsidR="0059437F">
        <w:rPr>
          <w:szCs w:val="22"/>
        </w:rPr>
        <w:t>c</w:t>
      </w:r>
      <w:r w:rsidR="0059437F" w:rsidRPr="00A64A35">
        <w:rPr>
          <w:szCs w:val="22"/>
        </w:rPr>
        <w:t xml:space="preserve">ontract </w:t>
      </w:r>
      <w:r w:rsidR="0059437F">
        <w:rPr>
          <w:szCs w:val="22"/>
        </w:rPr>
        <w:t>t</w:t>
      </w:r>
      <w:r w:rsidR="0059437F" w:rsidRPr="00A64A35">
        <w:rPr>
          <w:szCs w:val="22"/>
        </w:rPr>
        <w:t>ime</w:t>
      </w:r>
      <w:r w:rsidR="0059437F">
        <w:rPr>
          <w:szCs w:val="22"/>
        </w:rPr>
        <w:t xml:space="preserve"> or a change in the contract price </w:t>
      </w:r>
      <w:proofErr w:type="gramStart"/>
      <w:r w:rsidR="0059437F">
        <w:rPr>
          <w:szCs w:val="22"/>
        </w:rPr>
        <w:t>as a result of</w:t>
      </w:r>
      <w:proofErr w:type="gramEnd"/>
      <w:r w:rsidR="0059437F">
        <w:rPr>
          <w:szCs w:val="22"/>
        </w:rPr>
        <w:t xml:space="preserve"> the violation.</w:t>
      </w:r>
    </w:p>
    <w:p w14:paraId="07B3DA5B" w14:textId="77777777" w:rsidR="0079723B" w:rsidRDefault="0079723B">
      <w:pPr>
        <w:pStyle w:val="EOS"/>
      </w:pPr>
      <w:r>
        <w:t xml:space="preserve">END OF SECTION </w:t>
      </w:r>
      <w:r w:rsidR="00CC7D88">
        <w:t>0157</w:t>
      </w:r>
      <w:r w:rsidR="00E72E82">
        <w:t>2</w:t>
      </w:r>
      <w:r w:rsidR="00CC7D88">
        <w:t>0</w:t>
      </w:r>
    </w:p>
    <w:sectPr w:rsidR="0079723B" w:rsidSect="006F4125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5A8A" w14:textId="77777777" w:rsidR="004A207C" w:rsidRDefault="004A207C">
      <w:r>
        <w:separator/>
      </w:r>
    </w:p>
  </w:endnote>
  <w:endnote w:type="continuationSeparator" w:id="0">
    <w:p w14:paraId="4186A656" w14:textId="77777777" w:rsidR="004A207C" w:rsidRDefault="004A207C">
      <w:r>
        <w:continuationSeparator/>
      </w:r>
    </w:p>
  </w:endnote>
  <w:endnote w:type="continuationNotice" w:id="1">
    <w:p w14:paraId="799303BF" w14:textId="77777777" w:rsidR="004A207C" w:rsidRDefault="004A2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DA60" w14:textId="77777777" w:rsidR="00CB3C06" w:rsidRPr="0087639E" w:rsidRDefault="00CB3C06" w:rsidP="0088584C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722"/>
      <w:gridCol w:w="5638"/>
    </w:tblGrid>
    <w:tr w:rsidR="00CB3C06" w:rsidRPr="002824B8" w14:paraId="07B3DA63" w14:textId="77777777" w:rsidTr="002824B8">
      <w:tc>
        <w:tcPr>
          <w:tcW w:w="3798" w:type="dxa"/>
        </w:tcPr>
        <w:p w14:paraId="07B3DA61" w14:textId="5834B4A0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CONSTRUCTION EQUIPMENT IDLING, FUEL, AND ENGINE STANDARDS</w:t>
          </w:r>
        </w:p>
      </w:tc>
      <w:tc>
        <w:tcPr>
          <w:tcW w:w="5778" w:type="dxa"/>
        </w:tcPr>
        <w:p w14:paraId="07B3DA62" w14:textId="27E9EE62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2824B8">
            <w:rPr>
              <w:sz w:val="16"/>
              <w:szCs w:val="16"/>
            </w:rPr>
            <w:fldChar w:fldCharType="begin"/>
          </w:r>
          <w:r w:rsidRPr="002824B8">
            <w:rPr>
              <w:sz w:val="16"/>
              <w:szCs w:val="16"/>
            </w:rPr>
            <w:instrText xml:space="preserve"> DATE  \@ "M/d/yy"  \* MERGEFORMAT </w:instrText>
          </w:r>
          <w:r w:rsidRPr="002824B8">
            <w:rPr>
              <w:sz w:val="16"/>
              <w:szCs w:val="16"/>
            </w:rPr>
            <w:fldChar w:fldCharType="separate"/>
          </w:r>
          <w:r w:rsidR="00274C92">
            <w:rPr>
              <w:noProof/>
              <w:sz w:val="16"/>
              <w:szCs w:val="16"/>
            </w:rPr>
            <w:t>5/17/24</w:t>
          </w:r>
          <w:r w:rsidRPr="002824B8">
            <w:rPr>
              <w:sz w:val="16"/>
              <w:szCs w:val="16"/>
            </w:rPr>
            <w:fldChar w:fldCharType="end"/>
          </w:r>
        </w:p>
      </w:tc>
    </w:tr>
    <w:tr w:rsidR="00CB3C06" w:rsidRPr="002824B8" w14:paraId="07B3DA66" w14:textId="77777777" w:rsidTr="002824B8">
      <w:tc>
        <w:tcPr>
          <w:tcW w:w="3798" w:type="dxa"/>
        </w:tcPr>
        <w:p w14:paraId="07B3DA64" w14:textId="37581397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015720</w:t>
          </w:r>
          <w:r w:rsidRPr="002824B8">
            <w:rPr>
              <w:sz w:val="18"/>
              <w:szCs w:val="18"/>
            </w:rPr>
            <w:t>-</w:t>
          </w:r>
          <w:r w:rsidRPr="002824B8">
            <w:rPr>
              <w:rStyle w:val="PageNumber"/>
              <w:sz w:val="18"/>
              <w:szCs w:val="18"/>
            </w:rPr>
            <w:fldChar w:fldCharType="begin"/>
          </w:r>
          <w:r w:rsidRPr="002824B8">
            <w:rPr>
              <w:rStyle w:val="PageNumber"/>
              <w:sz w:val="18"/>
              <w:szCs w:val="18"/>
            </w:rPr>
            <w:instrText xml:space="preserve"> PAGE </w:instrText>
          </w:r>
          <w:r w:rsidRPr="002824B8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4</w:t>
          </w:r>
          <w:r w:rsidRPr="002824B8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5778" w:type="dxa"/>
        </w:tcPr>
        <w:p w14:paraId="07B3DA65" w14:textId="1237B76A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2824B8">
            <w:rPr>
              <w:sz w:val="16"/>
              <w:szCs w:val="16"/>
            </w:rPr>
            <w:fldChar w:fldCharType="begin"/>
          </w:r>
          <w:r w:rsidRPr="002824B8">
            <w:rPr>
              <w:sz w:val="16"/>
              <w:szCs w:val="16"/>
            </w:rPr>
            <w:instrText xml:space="preserve"> FILENAME  \* Upper \p  \* MERGEFORMAT </w:instrText>
          </w:r>
          <w:r w:rsidRPr="002824B8">
            <w:rPr>
              <w:sz w:val="16"/>
              <w:szCs w:val="16"/>
            </w:rPr>
            <w:fldChar w:fldCharType="separate"/>
          </w:r>
          <w:r w:rsidR="008F6D50">
            <w:rPr>
              <w:noProof/>
              <w:sz w:val="16"/>
              <w:szCs w:val="16"/>
            </w:rPr>
            <w:t>\\POPFS\ENG-SPEC\MASTERS\DIV-01\015720MT.DOCX</w:t>
          </w:r>
          <w:r w:rsidRPr="002824B8">
            <w:rPr>
              <w:sz w:val="16"/>
              <w:szCs w:val="16"/>
            </w:rPr>
            <w:fldChar w:fldCharType="end"/>
          </w:r>
        </w:p>
      </w:tc>
    </w:tr>
  </w:tbl>
  <w:p w14:paraId="07B3DA67" w14:textId="77777777" w:rsidR="00CB3C06" w:rsidRPr="0088584C" w:rsidRDefault="00CB3C06" w:rsidP="00885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DA68" w14:textId="77777777" w:rsidR="00CB3C06" w:rsidRPr="0087639E" w:rsidRDefault="00CB3C06" w:rsidP="0088584C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850"/>
      <w:gridCol w:w="3510"/>
    </w:tblGrid>
    <w:tr w:rsidR="00CB3C06" w:rsidRPr="002824B8" w14:paraId="07B3DA6B" w14:textId="77777777" w:rsidTr="00BA3E8D">
      <w:tc>
        <w:tcPr>
          <w:tcW w:w="5850" w:type="dxa"/>
        </w:tcPr>
        <w:p w14:paraId="07B3DA69" w14:textId="0E0D1F41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2824B8">
            <w:rPr>
              <w:sz w:val="16"/>
              <w:szCs w:val="16"/>
            </w:rPr>
            <w:fldChar w:fldCharType="begin"/>
          </w:r>
          <w:r w:rsidRPr="002824B8">
            <w:rPr>
              <w:sz w:val="16"/>
              <w:szCs w:val="16"/>
            </w:rPr>
            <w:instrText xml:space="preserve"> DATE  \@ "M/d/yy"  \* MERGEFORMAT </w:instrText>
          </w:r>
          <w:r w:rsidRPr="002824B8">
            <w:rPr>
              <w:sz w:val="16"/>
              <w:szCs w:val="16"/>
            </w:rPr>
            <w:fldChar w:fldCharType="separate"/>
          </w:r>
          <w:r w:rsidR="00274C92">
            <w:rPr>
              <w:noProof/>
              <w:sz w:val="16"/>
              <w:szCs w:val="16"/>
            </w:rPr>
            <w:t>5/17/24</w:t>
          </w:r>
          <w:r w:rsidRPr="002824B8">
            <w:rPr>
              <w:sz w:val="16"/>
              <w:szCs w:val="16"/>
            </w:rPr>
            <w:fldChar w:fldCharType="end"/>
          </w:r>
        </w:p>
      </w:tc>
      <w:tc>
        <w:tcPr>
          <w:tcW w:w="3510" w:type="dxa"/>
        </w:tcPr>
        <w:p w14:paraId="07B3DA6A" w14:textId="1E7189C6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CONSTRUCTION EQUIPMENT IDLING, FUEL, AND ENGINE STANDARDS</w:t>
          </w:r>
        </w:p>
      </w:tc>
    </w:tr>
    <w:tr w:rsidR="00CB3C06" w:rsidRPr="002824B8" w14:paraId="07B3DA6E" w14:textId="77777777" w:rsidTr="00BA3E8D">
      <w:tc>
        <w:tcPr>
          <w:tcW w:w="5850" w:type="dxa"/>
        </w:tcPr>
        <w:p w14:paraId="07B3DA6C" w14:textId="19800CE0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2824B8">
            <w:rPr>
              <w:sz w:val="16"/>
              <w:szCs w:val="16"/>
            </w:rPr>
            <w:fldChar w:fldCharType="begin"/>
          </w:r>
          <w:r w:rsidRPr="002824B8">
            <w:rPr>
              <w:sz w:val="16"/>
              <w:szCs w:val="16"/>
            </w:rPr>
            <w:instrText xml:space="preserve"> FILENAME  \* Upper \p  \* MERGEFORMAT </w:instrText>
          </w:r>
          <w:r w:rsidRPr="002824B8">
            <w:rPr>
              <w:sz w:val="16"/>
              <w:szCs w:val="16"/>
            </w:rPr>
            <w:fldChar w:fldCharType="separate"/>
          </w:r>
          <w:r w:rsidR="008F6D50">
            <w:rPr>
              <w:noProof/>
              <w:sz w:val="16"/>
              <w:szCs w:val="16"/>
            </w:rPr>
            <w:t>\\POPFS\ENG-SPEC\MASTERS\DIV-01\015720MT.DOCX</w:t>
          </w:r>
          <w:r w:rsidRPr="002824B8">
            <w:rPr>
              <w:sz w:val="16"/>
              <w:szCs w:val="16"/>
            </w:rPr>
            <w:fldChar w:fldCharType="end"/>
          </w:r>
        </w:p>
      </w:tc>
      <w:tc>
        <w:tcPr>
          <w:tcW w:w="3510" w:type="dxa"/>
        </w:tcPr>
        <w:p w14:paraId="07B3DA6D" w14:textId="5FE21787" w:rsidR="00CB3C06" w:rsidRPr="002824B8" w:rsidRDefault="00CB3C06" w:rsidP="002824B8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015720</w:t>
          </w:r>
          <w:r w:rsidRPr="002824B8">
            <w:rPr>
              <w:sz w:val="18"/>
              <w:szCs w:val="18"/>
            </w:rPr>
            <w:t>-</w:t>
          </w:r>
          <w:r w:rsidRPr="002824B8">
            <w:rPr>
              <w:rStyle w:val="PageNumber"/>
              <w:sz w:val="18"/>
              <w:szCs w:val="18"/>
            </w:rPr>
            <w:fldChar w:fldCharType="begin"/>
          </w:r>
          <w:r w:rsidRPr="002824B8">
            <w:rPr>
              <w:rStyle w:val="PageNumber"/>
              <w:sz w:val="18"/>
              <w:szCs w:val="18"/>
            </w:rPr>
            <w:instrText xml:space="preserve"> PAGE </w:instrText>
          </w:r>
          <w:r w:rsidRPr="002824B8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5</w:t>
          </w:r>
          <w:r w:rsidRPr="002824B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07B3DA6F" w14:textId="77777777" w:rsidR="00CB3C06" w:rsidRPr="0088584C" w:rsidRDefault="00CB3C06" w:rsidP="0088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8C20" w14:textId="77777777" w:rsidR="004A207C" w:rsidRDefault="004A207C">
      <w:r>
        <w:separator/>
      </w:r>
    </w:p>
  </w:footnote>
  <w:footnote w:type="continuationSeparator" w:id="0">
    <w:p w14:paraId="2BDC209C" w14:textId="77777777" w:rsidR="004A207C" w:rsidRDefault="004A207C">
      <w:r>
        <w:continuationSeparator/>
      </w:r>
    </w:p>
  </w:footnote>
  <w:footnote w:type="continuationNotice" w:id="1">
    <w:p w14:paraId="28D3E25D" w14:textId="77777777" w:rsidR="004A207C" w:rsidRDefault="004A2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A8BD9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6714"/>
        </w:tabs>
        <w:ind w:left="671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2600E6C"/>
    <w:multiLevelType w:val="hybridMultilevel"/>
    <w:tmpl w:val="8E5CFF02"/>
    <w:lvl w:ilvl="0" w:tplc="EBDCE50E">
      <w:start w:val="1"/>
      <w:numFmt w:val="bullet"/>
      <w:pStyle w:val="Style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B8900BB4">
      <w:start w:val="1"/>
      <w:numFmt w:val="bullet"/>
      <w:pStyle w:val="Style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929E48">
      <w:start w:val="1"/>
      <w:numFmt w:val="bullet"/>
      <w:pStyle w:val="Style4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267FFA"/>
    <w:multiLevelType w:val="hybridMultilevel"/>
    <w:tmpl w:val="F08A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52259">
    <w:abstractNumId w:val="0"/>
  </w:num>
  <w:num w:numId="2" w16cid:durableId="1004699269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500478">
    <w:abstractNumId w:val="1"/>
  </w:num>
  <w:num w:numId="4" w16cid:durableId="21710860">
    <w:abstractNumId w:val="0"/>
  </w:num>
  <w:num w:numId="5" w16cid:durableId="780538743">
    <w:abstractNumId w:val="0"/>
  </w:num>
  <w:num w:numId="6" w16cid:durableId="1554122475">
    <w:abstractNumId w:val="0"/>
  </w:num>
  <w:num w:numId="7" w16cid:durableId="2031759995">
    <w:abstractNumId w:val="0"/>
  </w:num>
  <w:num w:numId="8" w16cid:durableId="1074471922">
    <w:abstractNumId w:val="0"/>
  </w:num>
  <w:num w:numId="9" w16cid:durableId="675424872">
    <w:abstractNumId w:val="0"/>
  </w:num>
  <w:num w:numId="10" w16cid:durableId="1404251866">
    <w:abstractNumId w:val="0"/>
  </w:num>
  <w:num w:numId="11" w16cid:durableId="1745712421">
    <w:abstractNumId w:val="0"/>
  </w:num>
  <w:num w:numId="12" w16cid:durableId="684526447">
    <w:abstractNumId w:val="0"/>
  </w:num>
  <w:num w:numId="13" w16cid:durableId="808518419">
    <w:abstractNumId w:val="0"/>
  </w:num>
  <w:num w:numId="14" w16cid:durableId="50547277">
    <w:abstractNumId w:val="0"/>
  </w:num>
  <w:num w:numId="15" w16cid:durableId="1298560430">
    <w:abstractNumId w:val="0"/>
  </w:num>
  <w:num w:numId="16" w16cid:durableId="925069111">
    <w:abstractNumId w:val="0"/>
  </w:num>
  <w:num w:numId="17" w16cid:durableId="7491809">
    <w:abstractNumId w:val="2"/>
  </w:num>
  <w:num w:numId="18" w16cid:durableId="1820146634">
    <w:abstractNumId w:val="0"/>
  </w:num>
  <w:num w:numId="19" w16cid:durableId="669527613">
    <w:abstractNumId w:val="0"/>
  </w:num>
  <w:num w:numId="20" w16cid:durableId="219365768">
    <w:abstractNumId w:val="0"/>
  </w:num>
  <w:num w:numId="21" w16cid:durableId="590742518">
    <w:abstractNumId w:val="0"/>
  </w:num>
  <w:num w:numId="22" w16cid:durableId="643046340">
    <w:abstractNumId w:val="0"/>
  </w:num>
  <w:num w:numId="23" w16cid:durableId="1524981461">
    <w:abstractNumId w:val="0"/>
  </w:num>
  <w:num w:numId="24" w16cid:durableId="1811089052">
    <w:abstractNumId w:val="0"/>
  </w:num>
  <w:num w:numId="25" w16cid:durableId="315915299">
    <w:abstractNumId w:val="0"/>
  </w:num>
  <w:num w:numId="26" w16cid:durableId="20253555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2C"/>
    <w:rsid w:val="00012DCA"/>
    <w:rsid w:val="00033AA9"/>
    <w:rsid w:val="0005452E"/>
    <w:rsid w:val="000653D1"/>
    <w:rsid w:val="000827C8"/>
    <w:rsid w:val="00084A50"/>
    <w:rsid w:val="00093160"/>
    <w:rsid w:val="000A1853"/>
    <w:rsid w:val="000A3E2A"/>
    <w:rsid w:val="000B0B14"/>
    <w:rsid w:val="000C2F4F"/>
    <w:rsid w:val="000C40E5"/>
    <w:rsid w:val="000C7070"/>
    <w:rsid w:val="000E6D08"/>
    <w:rsid w:val="000F0E08"/>
    <w:rsid w:val="000F53A7"/>
    <w:rsid w:val="000F6E21"/>
    <w:rsid w:val="001039DB"/>
    <w:rsid w:val="00114857"/>
    <w:rsid w:val="00115A5E"/>
    <w:rsid w:val="00117BB8"/>
    <w:rsid w:val="00120FC6"/>
    <w:rsid w:val="00125197"/>
    <w:rsid w:val="001255C8"/>
    <w:rsid w:val="00127878"/>
    <w:rsid w:val="001319F9"/>
    <w:rsid w:val="001346B5"/>
    <w:rsid w:val="00137C2F"/>
    <w:rsid w:val="00143E02"/>
    <w:rsid w:val="00144BCE"/>
    <w:rsid w:val="00150593"/>
    <w:rsid w:val="0015365C"/>
    <w:rsid w:val="00156FA3"/>
    <w:rsid w:val="0015784F"/>
    <w:rsid w:val="00157969"/>
    <w:rsid w:val="001619A1"/>
    <w:rsid w:val="00162149"/>
    <w:rsid w:val="001656B3"/>
    <w:rsid w:val="00177960"/>
    <w:rsid w:val="00177BB4"/>
    <w:rsid w:val="00185ACA"/>
    <w:rsid w:val="00190D56"/>
    <w:rsid w:val="001A2085"/>
    <w:rsid w:val="001A444A"/>
    <w:rsid w:val="001A4809"/>
    <w:rsid w:val="001B27FC"/>
    <w:rsid w:val="001B6DDF"/>
    <w:rsid w:val="001C0F51"/>
    <w:rsid w:val="001C2951"/>
    <w:rsid w:val="001D5656"/>
    <w:rsid w:val="001D6126"/>
    <w:rsid w:val="001E6935"/>
    <w:rsid w:val="001F2BD8"/>
    <w:rsid w:val="001F4FA1"/>
    <w:rsid w:val="00203F6C"/>
    <w:rsid w:val="0020590B"/>
    <w:rsid w:val="00214DA1"/>
    <w:rsid w:val="00215B60"/>
    <w:rsid w:val="0022130D"/>
    <w:rsid w:val="0022625E"/>
    <w:rsid w:val="00230B9D"/>
    <w:rsid w:val="002354B1"/>
    <w:rsid w:val="00255F49"/>
    <w:rsid w:val="00274C92"/>
    <w:rsid w:val="00276F45"/>
    <w:rsid w:val="00280BBF"/>
    <w:rsid w:val="00281BDF"/>
    <w:rsid w:val="002824B8"/>
    <w:rsid w:val="00285C30"/>
    <w:rsid w:val="00287522"/>
    <w:rsid w:val="00287B79"/>
    <w:rsid w:val="00292702"/>
    <w:rsid w:val="00293218"/>
    <w:rsid w:val="00294B94"/>
    <w:rsid w:val="002A6389"/>
    <w:rsid w:val="002B1C49"/>
    <w:rsid w:val="002B6BDD"/>
    <w:rsid w:val="002D01AC"/>
    <w:rsid w:val="002D4B39"/>
    <w:rsid w:val="002D7A91"/>
    <w:rsid w:val="002E72E9"/>
    <w:rsid w:val="002F14E9"/>
    <w:rsid w:val="002F1C1A"/>
    <w:rsid w:val="002F2224"/>
    <w:rsid w:val="00300243"/>
    <w:rsid w:val="00313AAD"/>
    <w:rsid w:val="00331543"/>
    <w:rsid w:val="003444D9"/>
    <w:rsid w:val="003469F7"/>
    <w:rsid w:val="00352D0C"/>
    <w:rsid w:val="0035440B"/>
    <w:rsid w:val="00362DBE"/>
    <w:rsid w:val="003664DE"/>
    <w:rsid w:val="00370D32"/>
    <w:rsid w:val="003736E5"/>
    <w:rsid w:val="00381350"/>
    <w:rsid w:val="00382219"/>
    <w:rsid w:val="00384AFD"/>
    <w:rsid w:val="00387DA2"/>
    <w:rsid w:val="003901F3"/>
    <w:rsid w:val="003945D0"/>
    <w:rsid w:val="00395161"/>
    <w:rsid w:val="0039759B"/>
    <w:rsid w:val="003A0136"/>
    <w:rsid w:val="003A0385"/>
    <w:rsid w:val="003A4A92"/>
    <w:rsid w:val="003C195C"/>
    <w:rsid w:val="003C6D71"/>
    <w:rsid w:val="003D06AA"/>
    <w:rsid w:val="003D06FD"/>
    <w:rsid w:val="003D200A"/>
    <w:rsid w:val="003F4217"/>
    <w:rsid w:val="003F4D2C"/>
    <w:rsid w:val="003F60A5"/>
    <w:rsid w:val="00407981"/>
    <w:rsid w:val="00407C78"/>
    <w:rsid w:val="00417437"/>
    <w:rsid w:val="00417B81"/>
    <w:rsid w:val="00422539"/>
    <w:rsid w:val="00425ED9"/>
    <w:rsid w:val="004261E6"/>
    <w:rsid w:val="00433BDC"/>
    <w:rsid w:val="004456C8"/>
    <w:rsid w:val="00445967"/>
    <w:rsid w:val="004535AB"/>
    <w:rsid w:val="00456DEF"/>
    <w:rsid w:val="0046311F"/>
    <w:rsid w:val="0046550A"/>
    <w:rsid w:val="00467B13"/>
    <w:rsid w:val="00467BD2"/>
    <w:rsid w:val="00470D4A"/>
    <w:rsid w:val="00472D15"/>
    <w:rsid w:val="004734E0"/>
    <w:rsid w:val="00474137"/>
    <w:rsid w:val="00476CF4"/>
    <w:rsid w:val="00484550"/>
    <w:rsid w:val="004907B4"/>
    <w:rsid w:val="0049276A"/>
    <w:rsid w:val="004A1A52"/>
    <w:rsid w:val="004A207C"/>
    <w:rsid w:val="004A5552"/>
    <w:rsid w:val="004B406D"/>
    <w:rsid w:val="004B470E"/>
    <w:rsid w:val="004B796B"/>
    <w:rsid w:val="004C375F"/>
    <w:rsid w:val="004D3335"/>
    <w:rsid w:val="004E2E88"/>
    <w:rsid w:val="004E5B86"/>
    <w:rsid w:val="004E60B9"/>
    <w:rsid w:val="004F05CC"/>
    <w:rsid w:val="004F4366"/>
    <w:rsid w:val="004F4A83"/>
    <w:rsid w:val="00506B93"/>
    <w:rsid w:val="0053095A"/>
    <w:rsid w:val="00542D69"/>
    <w:rsid w:val="00570C1F"/>
    <w:rsid w:val="00570EEF"/>
    <w:rsid w:val="00572E04"/>
    <w:rsid w:val="005772EF"/>
    <w:rsid w:val="005828AC"/>
    <w:rsid w:val="00586EBC"/>
    <w:rsid w:val="0059437F"/>
    <w:rsid w:val="0059749B"/>
    <w:rsid w:val="005B31C9"/>
    <w:rsid w:val="005B6B0A"/>
    <w:rsid w:val="005C0BB5"/>
    <w:rsid w:val="005C155E"/>
    <w:rsid w:val="005C1987"/>
    <w:rsid w:val="005D16DC"/>
    <w:rsid w:val="005D1DFE"/>
    <w:rsid w:val="005D723B"/>
    <w:rsid w:val="005E0D4A"/>
    <w:rsid w:val="005F3BFD"/>
    <w:rsid w:val="00602854"/>
    <w:rsid w:val="00615407"/>
    <w:rsid w:val="00622EFD"/>
    <w:rsid w:val="00622F6A"/>
    <w:rsid w:val="00633406"/>
    <w:rsid w:val="0063732D"/>
    <w:rsid w:val="00644929"/>
    <w:rsid w:val="006510E1"/>
    <w:rsid w:val="00657197"/>
    <w:rsid w:val="00662A4F"/>
    <w:rsid w:val="00665389"/>
    <w:rsid w:val="006663CA"/>
    <w:rsid w:val="006701ED"/>
    <w:rsid w:val="00673EE4"/>
    <w:rsid w:val="00676C93"/>
    <w:rsid w:val="006800F7"/>
    <w:rsid w:val="0068212F"/>
    <w:rsid w:val="0068545D"/>
    <w:rsid w:val="0069426C"/>
    <w:rsid w:val="0069477A"/>
    <w:rsid w:val="006A04A8"/>
    <w:rsid w:val="006C3661"/>
    <w:rsid w:val="006D0737"/>
    <w:rsid w:val="006D2F18"/>
    <w:rsid w:val="006D3BE4"/>
    <w:rsid w:val="006E3BDB"/>
    <w:rsid w:val="006F4125"/>
    <w:rsid w:val="006F7557"/>
    <w:rsid w:val="00702AEF"/>
    <w:rsid w:val="007051F4"/>
    <w:rsid w:val="00734407"/>
    <w:rsid w:val="0073720C"/>
    <w:rsid w:val="00750A03"/>
    <w:rsid w:val="00751514"/>
    <w:rsid w:val="00751A24"/>
    <w:rsid w:val="00751CD7"/>
    <w:rsid w:val="007528A4"/>
    <w:rsid w:val="007571DB"/>
    <w:rsid w:val="00761886"/>
    <w:rsid w:val="00763D2A"/>
    <w:rsid w:val="007659D1"/>
    <w:rsid w:val="007670D0"/>
    <w:rsid w:val="00770739"/>
    <w:rsid w:val="007721AC"/>
    <w:rsid w:val="00773061"/>
    <w:rsid w:val="007918C8"/>
    <w:rsid w:val="0079723B"/>
    <w:rsid w:val="007979A2"/>
    <w:rsid w:val="007A09D5"/>
    <w:rsid w:val="007A52F9"/>
    <w:rsid w:val="007B7398"/>
    <w:rsid w:val="007C227C"/>
    <w:rsid w:val="007C4325"/>
    <w:rsid w:val="007C7EDD"/>
    <w:rsid w:val="007D0853"/>
    <w:rsid w:val="007D2F16"/>
    <w:rsid w:val="007F33EA"/>
    <w:rsid w:val="007F3501"/>
    <w:rsid w:val="008072D1"/>
    <w:rsid w:val="00814C47"/>
    <w:rsid w:val="00817553"/>
    <w:rsid w:val="0082751A"/>
    <w:rsid w:val="00835BD3"/>
    <w:rsid w:val="00836343"/>
    <w:rsid w:val="008401C3"/>
    <w:rsid w:val="00854003"/>
    <w:rsid w:val="00861B49"/>
    <w:rsid w:val="008803C9"/>
    <w:rsid w:val="008815F2"/>
    <w:rsid w:val="0088584C"/>
    <w:rsid w:val="00890ECC"/>
    <w:rsid w:val="008A35F8"/>
    <w:rsid w:val="008B125A"/>
    <w:rsid w:val="008B374D"/>
    <w:rsid w:val="008B3B89"/>
    <w:rsid w:val="008B4C99"/>
    <w:rsid w:val="008D4C19"/>
    <w:rsid w:val="008E6D2C"/>
    <w:rsid w:val="008F16D9"/>
    <w:rsid w:val="008F3435"/>
    <w:rsid w:val="008F3A56"/>
    <w:rsid w:val="008F6D50"/>
    <w:rsid w:val="009009DD"/>
    <w:rsid w:val="00905C0F"/>
    <w:rsid w:val="0090608E"/>
    <w:rsid w:val="00914E20"/>
    <w:rsid w:val="00916049"/>
    <w:rsid w:val="00916908"/>
    <w:rsid w:val="00923D5A"/>
    <w:rsid w:val="00925D20"/>
    <w:rsid w:val="0093455F"/>
    <w:rsid w:val="00942B4F"/>
    <w:rsid w:val="00942C56"/>
    <w:rsid w:val="009437C6"/>
    <w:rsid w:val="009447AC"/>
    <w:rsid w:val="0096141B"/>
    <w:rsid w:val="00974EA6"/>
    <w:rsid w:val="00982FEA"/>
    <w:rsid w:val="00983EAD"/>
    <w:rsid w:val="00992968"/>
    <w:rsid w:val="009A21FF"/>
    <w:rsid w:val="009A5494"/>
    <w:rsid w:val="009D2C20"/>
    <w:rsid w:val="009D5C10"/>
    <w:rsid w:val="009F6A79"/>
    <w:rsid w:val="00A11131"/>
    <w:rsid w:val="00A1399C"/>
    <w:rsid w:val="00A14CEC"/>
    <w:rsid w:val="00A1535A"/>
    <w:rsid w:val="00A33520"/>
    <w:rsid w:val="00A7511A"/>
    <w:rsid w:val="00A7643E"/>
    <w:rsid w:val="00A77B57"/>
    <w:rsid w:val="00A815CC"/>
    <w:rsid w:val="00A84E01"/>
    <w:rsid w:val="00A86730"/>
    <w:rsid w:val="00A9419B"/>
    <w:rsid w:val="00AA5ED1"/>
    <w:rsid w:val="00AB12CE"/>
    <w:rsid w:val="00AC0D0A"/>
    <w:rsid w:val="00AC419B"/>
    <w:rsid w:val="00AC5B63"/>
    <w:rsid w:val="00AE4806"/>
    <w:rsid w:val="00AF0F44"/>
    <w:rsid w:val="00AF1499"/>
    <w:rsid w:val="00AF3B1B"/>
    <w:rsid w:val="00AF3CB4"/>
    <w:rsid w:val="00B0609E"/>
    <w:rsid w:val="00B16139"/>
    <w:rsid w:val="00B20AA9"/>
    <w:rsid w:val="00B239F0"/>
    <w:rsid w:val="00B25BE7"/>
    <w:rsid w:val="00B30CA2"/>
    <w:rsid w:val="00B35022"/>
    <w:rsid w:val="00B40512"/>
    <w:rsid w:val="00B51186"/>
    <w:rsid w:val="00B6125E"/>
    <w:rsid w:val="00B62759"/>
    <w:rsid w:val="00B67A32"/>
    <w:rsid w:val="00B82094"/>
    <w:rsid w:val="00BA2DA3"/>
    <w:rsid w:val="00BA3E8D"/>
    <w:rsid w:val="00BA5A46"/>
    <w:rsid w:val="00BB0FD1"/>
    <w:rsid w:val="00BB5496"/>
    <w:rsid w:val="00BB7A36"/>
    <w:rsid w:val="00BC26C9"/>
    <w:rsid w:val="00BC487F"/>
    <w:rsid w:val="00BD328F"/>
    <w:rsid w:val="00BD575B"/>
    <w:rsid w:val="00BF4249"/>
    <w:rsid w:val="00BF5A9A"/>
    <w:rsid w:val="00C035C8"/>
    <w:rsid w:val="00C16FE8"/>
    <w:rsid w:val="00C300EE"/>
    <w:rsid w:val="00C36D19"/>
    <w:rsid w:val="00C43ED6"/>
    <w:rsid w:val="00C44BC7"/>
    <w:rsid w:val="00C45144"/>
    <w:rsid w:val="00C45999"/>
    <w:rsid w:val="00C46544"/>
    <w:rsid w:val="00C47691"/>
    <w:rsid w:val="00C539D9"/>
    <w:rsid w:val="00C53FB0"/>
    <w:rsid w:val="00C54377"/>
    <w:rsid w:val="00C7091D"/>
    <w:rsid w:val="00C72268"/>
    <w:rsid w:val="00C90A99"/>
    <w:rsid w:val="00C92FBC"/>
    <w:rsid w:val="00CA17A3"/>
    <w:rsid w:val="00CB3662"/>
    <w:rsid w:val="00CB3C06"/>
    <w:rsid w:val="00CB5C3A"/>
    <w:rsid w:val="00CC3835"/>
    <w:rsid w:val="00CC7D88"/>
    <w:rsid w:val="00CD5E2E"/>
    <w:rsid w:val="00CD712A"/>
    <w:rsid w:val="00CE2806"/>
    <w:rsid w:val="00CE7455"/>
    <w:rsid w:val="00CF5EB3"/>
    <w:rsid w:val="00CF6657"/>
    <w:rsid w:val="00D065B9"/>
    <w:rsid w:val="00D12BD6"/>
    <w:rsid w:val="00D31636"/>
    <w:rsid w:val="00D46AC9"/>
    <w:rsid w:val="00D53DA3"/>
    <w:rsid w:val="00D56833"/>
    <w:rsid w:val="00D605D5"/>
    <w:rsid w:val="00D625AA"/>
    <w:rsid w:val="00D63844"/>
    <w:rsid w:val="00D6501E"/>
    <w:rsid w:val="00D772B5"/>
    <w:rsid w:val="00D81692"/>
    <w:rsid w:val="00D93778"/>
    <w:rsid w:val="00DA1569"/>
    <w:rsid w:val="00DA1B85"/>
    <w:rsid w:val="00DB4C7C"/>
    <w:rsid w:val="00DC718F"/>
    <w:rsid w:val="00DD114D"/>
    <w:rsid w:val="00DD258D"/>
    <w:rsid w:val="00DD4A54"/>
    <w:rsid w:val="00DD4EF1"/>
    <w:rsid w:val="00DD5D42"/>
    <w:rsid w:val="00DE12BA"/>
    <w:rsid w:val="00DE4AFB"/>
    <w:rsid w:val="00DE76BA"/>
    <w:rsid w:val="00DF37DA"/>
    <w:rsid w:val="00DF7948"/>
    <w:rsid w:val="00E1157C"/>
    <w:rsid w:val="00E170B9"/>
    <w:rsid w:val="00E233B7"/>
    <w:rsid w:val="00E24C2E"/>
    <w:rsid w:val="00E336A8"/>
    <w:rsid w:val="00E3585D"/>
    <w:rsid w:val="00E4032E"/>
    <w:rsid w:val="00E4190C"/>
    <w:rsid w:val="00E42D55"/>
    <w:rsid w:val="00E4408B"/>
    <w:rsid w:val="00E4543B"/>
    <w:rsid w:val="00E56017"/>
    <w:rsid w:val="00E6061A"/>
    <w:rsid w:val="00E6724F"/>
    <w:rsid w:val="00E70F79"/>
    <w:rsid w:val="00E72E82"/>
    <w:rsid w:val="00E958C8"/>
    <w:rsid w:val="00EA0447"/>
    <w:rsid w:val="00EA41D7"/>
    <w:rsid w:val="00EB188A"/>
    <w:rsid w:val="00ED6F0C"/>
    <w:rsid w:val="00EE000E"/>
    <w:rsid w:val="00EF0016"/>
    <w:rsid w:val="00EF0AA5"/>
    <w:rsid w:val="00EF0EE2"/>
    <w:rsid w:val="00F031FF"/>
    <w:rsid w:val="00F06383"/>
    <w:rsid w:val="00F069D0"/>
    <w:rsid w:val="00F12563"/>
    <w:rsid w:val="00F16BC0"/>
    <w:rsid w:val="00F23711"/>
    <w:rsid w:val="00F25A62"/>
    <w:rsid w:val="00F31661"/>
    <w:rsid w:val="00F32B57"/>
    <w:rsid w:val="00F435EE"/>
    <w:rsid w:val="00F470FC"/>
    <w:rsid w:val="00F47F24"/>
    <w:rsid w:val="00F612EC"/>
    <w:rsid w:val="00F67B5F"/>
    <w:rsid w:val="00F71818"/>
    <w:rsid w:val="00F801A9"/>
    <w:rsid w:val="00F8495B"/>
    <w:rsid w:val="00F93C86"/>
    <w:rsid w:val="00FA72F1"/>
    <w:rsid w:val="00FA7338"/>
    <w:rsid w:val="00FB4940"/>
    <w:rsid w:val="00FB55E5"/>
    <w:rsid w:val="00FB7765"/>
    <w:rsid w:val="00FC2921"/>
    <w:rsid w:val="00FC304A"/>
    <w:rsid w:val="00FD0125"/>
    <w:rsid w:val="00FD2D11"/>
    <w:rsid w:val="00FD52CD"/>
    <w:rsid w:val="00FD7DC4"/>
    <w:rsid w:val="00FE5D78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7B3DA4E"/>
  <w15:chartTrackingRefBased/>
  <w15:docId w15:val="{2B542168-1674-40BE-8902-A01F567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338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tabs>
        <w:tab w:val="left" w:pos="864"/>
      </w:tabs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</w:rPr>
  </w:style>
  <w:style w:type="paragraph" w:customStyle="1" w:styleId="CMT">
    <w:name w:val="CMT"/>
    <w:basedOn w:val="Normal"/>
    <w:rsid w:val="00F435EE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IRCMT">
    <w:name w:val="DIRCMT"/>
    <w:basedOn w:val="CMT"/>
    <w:pPr>
      <w:pBdr>
        <w:top w:val="thinThickSmallGap" w:sz="12" w:space="3" w:color="auto"/>
        <w:left w:val="thinThickSmallGap" w:sz="12" w:space="4" w:color="auto"/>
        <w:bottom w:val="thickThinSmallGap" w:sz="12" w:space="3" w:color="auto"/>
        <w:right w:val="thickThinSmallGap" w:sz="12" w:space="4" w:color="auto"/>
      </w:pBdr>
      <w:shd w:val="clear" w:color="auto" w:fill="CCFFFF"/>
    </w:pPr>
    <w:rPr>
      <w:rFonts w:ascii="Arial" w:hAnsi="Arial"/>
      <w:b/>
      <w:color w:val="FF0000"/>
      <w:sz w:val="20"/>
    </w:rPr>
  </w:style>
  <w:style w:type="paragraph" w:customStyle="1" w:styleId="PRNVA">
    <w:name w:val="PRNVA"/>
    <w:basedOn w:val="PRN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10" w:color="CC99FF" w:fill="FFFFFF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Example">
    <w:name w:val="Example"/>
    <w:basedOn w:val="PRN"/>
    <w:pPr>
      <w:shd w:val="pct20" w:color="00FFFF" w:fill="FFFFFF"/>
      <w:ind w:left="2880"/>
    </w:pPr>
    <w:rPr>
      <w:u w:val="single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customStyle="1" w:styleId="MF04">
    <w:name w:val="MF04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rPr>
      <w:color w:val="33CC33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rPr>
      <w:color w:val="00CC00"/>
      <w:u w:val="single"/>
    </w:rPr>
  </w:style>
  <w:style w:type="character" w:customStyle="1" w:styleId="NUM95">
    <w:name w:val="NUM95"/>
    <w:rPr>
      <w:color w:val="FF00FF"/>
      <w:u w:val="dashLong"/>
    </w:rPr>
  </w:style>
  <w:style w:type="table" w:styleId="TableGrid">
    <w:name w:val="Table Grid"/>
    <w:basedOn w:val="TableNormal"/>
    <w:rsid w:val="006F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F4125"/>
  </w:style>
  <w:style w:type="paragraph" w:styleId="ListParagraph">
    <w:name w:val="List Paragraph"/>
    <w:basedOn w:val="Normal"/>
    <w:uiPriority w:val="34"/>
    <w:qFormat/>
    <w:rsid w:val="00974EA6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rsid w:val="00974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4E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EA6"/>
  </w:style>
  <w:style w:type="paragraph" w:styleId="CommentSubject">
    <w:name w:val="annotation subject"/>
    <w:basedOn w:val="CommentText"/>
    <w:next w:val="CommentText"/>
    <w:link w:val="CommentSubjectChar"/>
    <w:rsid w:val="00974EA6"/>
    <w:rPr>
      <w:b/>
      <w:bCs/>
    </w:rPr>
  </w:style>
  <w:style w:type="character" w:customStyle="1" w:styleId="CommentSubjectChar">
    <w:name w:val="Comment Subject Char"/>
    <w:link w:val="CommentSubject"/>
    <w:rsid w:val="00974EA6"/>
    <w:rPr>
      <w:b/>
      <w:bCs/>
    </w:rPr>
  </w:style>
  <w:style w:type="character" w:customStyle="1" w:styleId="BalloonTextChar">
    <w:name w:val="Balloon Text Char"/>
    <w:link w:val="BalloonText"/>
    <w:rsid w:val="00974EA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74EA6"/>
    <w:rPr>
      <w:sz w:val="22"/>
    </w:rPr>
  </w:style>
  <w:style w:type="character" w:customStyle="1" w:styleId="FooterChar">
    <w:name w:val="Footer Char"/>
    <w:link w:val="Footer"/>
    <w:uiPriority w:val="99"/>
    <w:rsid w:val="00974EA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7338"/>
    <w:rPr>
      <w:rFonts w:ascii="Calibri Light" w:hAnsi="Calibri Light"/>
      <w:color w:val="2F5496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FA7338"/>
    <w:pPr>
      <w:ind w:left="720"/>
    </w:pPr>
    <w:rPr>
      <w:rFonts w:ascii="Palatino Linotype" w:eastAsia="Calibri" w:hAnsi="Palatino Linotype"/>
      <w:szCs w:val="22"/>
    </w:rPr>
  </w:style>
  <w:style w:type="character" w:customStyle="1" w:styleId="Style1Char">
    <w:name w:val="Style1 Char"/>
    <w:link w:val="Style1"/>
    <w:rsid w:val="00FA7338"/>
    <w:rPr>
      <w:rFonts w:ascii="Palatino Linotype" w:eastAsia="Calibri" w:hAnsi="Palatino Linotype"/>
      <w:sz w:val="22"/>
      <w:szCs w:val="22"/>
    </w:rPr>
  </w:style>
  <w:style w:type="paragraph" w:customStyle="1" w:styleId="Style2">
    <w:name w:val="Style2"/>
    <w:basedOn w:val="ListParagraph"/>
    <w:link w:val="Style2Char"/>
    <w:qFormat/>
    <w:rsid w:val="00FA7338"/>
    <w:pPr>
      <w:numPr>
        <w:numId w:val="3"/>
      </w:numPr>
    </w:pPr>
    <w:rPr>
      <w:rFonts w:ascii="Palatino Linotype" w:eastAsia="Calibri" w:hAnsi="Palatino Linotype"/>
      <w:sz w:val="22"/>
      <w:szCs w:val="22"/>
    </w:rPr>
  </w:style>
  <w:style w:type="paragraph" w:customStyle="1" w:styleId="Style3">
    <w:name w:val="Style3"/>
    <w:basedOn w:val="Style2"/>
    <w:link w:val="Style3Char"/>
    <w:qFormat/>
    <w:rsid w:val="00FA7338"/>
    <w:pPr>
      <w:numPr>
        <w:ilvl w:val="1"/>
      </w:numPr>
    </w:pPr>
  </w:style>
  <w:style w:type="character" w:customStyle="1" w:styleId="Style2Char">
    <w:name w:val="Style2 Char"/>
    <w:link w:val="Style2"/>
    <w:rsid w:val="00FA7338"/>
    <w:rPr>
      <w:rFonts w:ascii="Palatino Linotype" w:eastAsia="Calibri" w:hAnsi="Palatino Linotype"/>
      <w:sz w:val="22"/>
      <w:szCs w:val="22"/>
    </w:rPr>
  </w:style>
  <w:style w:type="character" w:styleId="Hyperlink">
    <w:name w:val="Hyperlink"/>
    <w:uiPriority w:val="99"/>
    <w:unhideWhenUsed/>
    <w:rsid w:val="00FA7338"/>
    <w:rPr>
      <w:color w:val="0563C1"/>
      <w:u w:val="single"/>
    </w:rPr>
  </w:style>
  <w:style w:type="character" w:customStyle="1" w:styleId="Style3Char">
    <w:name w:val="Style3 Char"/>
    <w:link w:val="Style3"/>
    <w:rsid w:val="00FA7338"/>
    <w:rPr>
      <w:rFonts w:ascii="Palatino Linotype" w:eastAsia="Calibri" w:hAnsi="Palatino Linotype"/>
      <w:sz w:val="22"/>
      <w:szCs w:val="22"/>
    </w:rPr>
  </w:style>
  <w:style w:type="paragraph" w:customStyle="1" w:styleId="Style4">
    <w:name w:val="Style4"/>
    <w:basedOn w:val="Style3"/>
    <w:link w:val="Style4Char"/>
    <w:qFormat/>
    <w:rsid w:val="00FA7338"/>
    <w:pPr>
      <w:numPr>
        <w:ilvl w:val="2"/>
      </w:numPr>
    </w:pPr>
  </w:style>
  <w:style w:type="character" w:customStyle="1" w:styleId="Style4Char">
    <w:name w:val="Style4 Char"/>
    <w:link w:val="Style4"/>
    <w:rsid w:val="00FA7338"/>
    <w:rPr>
      <w:rFonts w:ascii="Palatino Linotype" w:eastAsia="Calibri" w:hAnsi="Palatino Linotype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F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A92"/>
    <w:rPr>
      <w:sz w:val="22"/>
    </w:rPr>
  </w:style>
  <w:style w:type="character" w:styleId="FollowedHyperlink">
    <w:name w:val="FollowedHyperlink"/>
    <w:basedOn w:val="DefaultParagraphFont"/>
    <w:rsid w:val="001E69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rtland.gov/cac/TheYar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1A90670CA34C8B4C0D501DECA58A" ma:contentTypeVersion="3" ma:contentTypeDescription="Create a new document." ma:contentTypeScope="" ma:versionID="01be3653def0bb7a57346b39158b36fb">
  <xsd:schema xmlns:xsd="http://www.w3.org/2001/XMLSchema" xmlns:xs="http://www.w3.org/2001/XMLSchema" xmlns:p="http://schemas.microsoft.com/office/2006/metadata/properties" xmlns:ns2="60b14889-c8a1-446f-bcfb-aa0d4f3cb4b0" targetNamespace="http://schemas.microsoft.com/office/2006/metadata/properties" ma:root="true" ma:fieldsID="dcb639d7a39d1ce9555f5ff466eef490" ns2:_="">
    <xsd:import namespace="60b14889-c8a1-446f-bcfb-aa0d4f3cb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14889-c8a1-446f-bcfb-aa0d4f3c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B83ECD4-AAAB-4F38-B2AC-8AF104091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14889-c8a1-446f-bcfb-aa0d4f3c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BF8C7-3E1D-4C83-904C-9370314C1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1D2054-55F7-40C0-9C2D-B3832009E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C90B2A-D4E8-4B2C-8475-17333323B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1751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PORT OF PORTLAND</dc:creator>
  <cp:keywords/>
  <dc:description/>
  <cp:lastModifiedBy>Doherty, Colin</cp:lastModifiedBy>
  <cp:revision>7</cp:revision>
  <cp:lastPrinted>2004-10-01T23:11:00Z</cp:lastPrinted>
  <dcterms:created xsi:type="dcterms:W3CDTF">2023-12-28T22:22:00Z</dcterms:created>
  <dcterms:modified xsi:type="dcterms:W3CDTF">2024-05-17T19:06:00Z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0x010100547A1A90670CA34C8B4C0D501DECA58A</vt:lpwstr>
  </property>
</Properties>
</file>