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32E5B" w14:textId="77777777" w:rsidR="00D9128D" w:rsidRDefault="00D9128D" w:rsidP="00F323CA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This master should be used by designers working on Port of Portland construction projects and by designers working for PDX tenants (“Tenants”).  Usage notes highlight a few specific editing choices, however the entire section should be evaluated and edited to fit specific project needs.</w:t>
      </w:r>
    </w:p>
    <w:p w14:paraId="3DF65A03" w14:textId="77777777" w:rsidR="00B3031D" w:rsidRDefault="00B3031D" w:rsidP="00721D0C">
      <w:pPr>
        <w:pStyle w:val="SCT"/>
        <w:outlineLvl w:val="0"/>
      </w:pPr>
      <w:r>
        <w:t xml:space="preserve">SECTION </w:t>
      </w:r>
      <w:r>
        <w:rPr>
          <w:rStyle w:val="NUM"/>
        </w:rPr>
        <w:t>223000</w:t>
      </w:r>
      <w:r>
        <w:t xml:space="preserve"> - </w:t>
      </w:r>
      <w:r>
        <w:rPr>
          <w:rStyle w:val="NAM"/>
        </w:rPr>
        <w:t>PLUMBING EQUIPMENT</w:t>
      </w:r>
    </w:p>
    <w:p w14:paraId="2EE7EFCB" w14:textId="77777777" w:rsidR="00B3031D" w:rsidRDefault="00B3031D" w:rsidP="00721D0C">
      <w:pPr>
        <w:pStyle w:val="PRT"/>
        <w:outlineLvl w:val="1"/>
      </w:pPr>
      <w:bookmarkStart w:id="0" w:name="_GoBack"/>
      <w:r>
        <w:t>GENERAL</w:t>
      </w:r>
    </w:p>
    <w:bookmarkEnd w:id="0"/>
    <w:p w14:paraId="12E71C42" w14:textId="77777777" w:rsidR="00B3031D" w:rsidRDefault="00B3031D" w:rsidP="00F323CA">
      <w:pPr>
        <w:pStyle w:val="ART"/>
      </w:pPr>
      <w:r>
        <w:t>DESCRIPTION</w:t>
      </w:r>
    </w:p>
    <w:p w14:paraId="4733DDD4" w14:textId="77777777" w:rsidR="00B3031D" w:rsidRDefault="00B3031D" w:rsidP="00F323CA">
      <w:pPr>
        <w:pStyle w:val="PR1"/>
      </w:pPr>
      <w:r>
        <w:t>This section describes water heaters, backflow preventers, domestic water expansion tanks, hose reel cabinets, catch basins, grease duct interceptors, washdown systems, and grease traps.</w:t>
      </w:r>
    </w:p>
    <w:p w14:paraId="2BD1DD4B" w14:textId="77777777" w:rsidR="00887090" w:rsidRDefault="00887090" w:rsidP="00F323CA">
      <w:pPr>
        <w:pStyle w:val="ART"/>
        <w:keepNext/>
        <w:keepLines/>
      </w:pPr>
      <w:r>
        <w:t>RELATED WORK SPECIFIED ELSEWHERE</w:t>
      </w:r>
    </w:p>
    <w:p w14:paraId="2D234078" w14:textId="77777777" w:rsidR="00887090" w:rsidRDefault="00887090" w:rsidP="00F323CA">
      <w:pPr>
        <w:pStyle w:val="PR1"/>
      </w:pPr>
      <w:r>
        <w:t>Section 220500, Common Work Results for Plumbing</w:t>
      </w:r>
    </w:p>
    <w:p w14:paraId="3C6CF43D" w14:textId="77777777" w:rsidR="00887090" w:rsidRDefault="00887090" w:rsidP="00F323CA">
      <w:pPr>
        <w:pStyle w:val="PR1"/>
      </w:pPr>
      <w:r>
        <w:t>Section 220523, General Duty Valves for Plumbing Piping</w:t>
      </w:r>
    </w:p>
    <w:p w14:paraId="3AE2AE4A" w14:textId="77777777" w:rsidR="00887090" w:rsidRDefault="00887090" w:rsidP="00F323CA">
      <w:pPr>
        <w:pStyle w:val="PR1"/>
      </w:pPr>
      <w:r>
        <w:t>Section 220529, Hangers and Supports for Plumbing Piping and Equipment</w:t>
      </w:r>
    </w:p>
    <w:p w14:paraId="25451677" w14:textId="77777777" w:rsidR="00887090" w:rsidRDefault="00887090" w:rsidP="00F323CA">
      <w:pPr>
        <w:pStyle w:val="PR1"/>
      </w:pPr>
      <w:r>
        <w:t>Section 220545, Seismic Restraints for Plumbing Piping and Equipment</w:t>
      </w:r>
    </w:p>
    <w:p w14:paraId="667B94F1" w14:textId="77777777" w:rsidR="00887090" w:rsidRDefault="00887090" w:rsidP="00F323CA">
      <w:pPr>
        <w:pStyle w:val="PR1"/>
      </w:pPr>
      <w:r>
        <w:t>Section 220553, Identification for Plumbing Piping and Equipment</w:t>
      </w:r>
    </w:p>
    <w:p w14:paraId="2E0DC6DB" w14:textId="77777777" w:rsidR="00887090" w:rsidRDefault="00887090" w:rsidP="00F323CA">
      <w:pPr>
        <w:pStyle w:val="PR1"/>
      </w:pPr>
      <w:r>
        <w:t>Section 221100, Plumbing Piping</w:t>
      </w:r>
    </w:p>
    <w:p w14:paraId="61928936" w14:textId="77777777" w:rsidR="00B3031D" w:rsidRDefault="00CD4F54" w:rsidP="00F323CA">
      <w:pPr>
        <w:pStyle w:val="ART"/>
      </w:pPr>
      <w:r>
        <w:t>REFERENCE</w:t>
      </w:r>
      <w:r w:rsidR="00B3031D">
        <w:t>S</w:t>
      </w:r>
    </w:p>
    <w:p w14:paraId="4DA6CBA9" w14:textId="77777777" w:rsidR="00B3031D" w:rsidRDefault="00B3031D" w:rsidP="00F323CA">
      <w:pPr>
        <w:pStyle w:val="PR1"/>
        <w:keepNext/>
      </w:pPr>
      <w:r>
        <w:t>ASHRAE:  American Society of Heating, Refrigerating and Air-Conditioning Engineers</w:t>
      </w:r>
    </w:p>
    <w:p w14:paraId="12DFF394" w14:textId="77777777" w:rsidR="002A72AB" w:rsidRDefault="006D3789" w:rsidP="00F323CA">
      <w:pPr>
        <w:pStyle w:val="PR2"/>
      </w:pPr>
      <w:r w:rsidRPr="006D3789">
        <w:t>ASHRAE Chapter 90: Energy Standard for Buildings Except Low-Rise Residential Buildings</w:t>
      </w:r>
    </w:p>
    <w:p w14:paraId="34903ECC" w14:textId="77777777" w:rsidR="00B3031D" w:rsidRDefault="00B3031D" w:rsidP="00F323CA">
      <w:pPr>
        <w:pStyle w:val="PR1"/>
      </w:pPr>
      <w:r>
        <w:t>FDA:  Food and Drug Administration</w:t>
      </w:r>
    </w:p>
    <w:p w14:paraId="1CC5DD45" w14:textId="77777777" w:rsidR="00B3031D" w:rsidRDefault="00B3031D" w:rsidP="00F323CA">
      <w:pPr>
        <w:pStyle w:val="PR1"/>
      </w:pPr>
      <w:r>
        <w:t xml:space="preserve">OSPSC: 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Plumbing Specialty Code</w:t>
      </w:r>
    </w:p>
    <w:p w14:paraId="6DC66CA4" w14:textId="77777777" w:rsidR="00B3031D" w:rsidRDefault="00B3031D" w:rsidP="00F323CA">
      <w:pPr>
        <w:pStyle w:val="ART"/>
        <w:keepNext/>
      </w:pPr>
      <w:r>
        <w:t>SUBMITTALS</w:t>
      </w:r>
    </w:p>
    <w:p w14:paraId="7042C1D7" w14:textId="77777777" w:rsidR="00B3031D" w:rsidRDefault="00B3031D" w:rsidP="00F323CA">
      <w:pPr>
        <w:pStyle w:val="PR1"/>
      </w:pPr>
      <w:r>
        <w:t>For each item specified herein, submit product/material data; shop drawings; operation and maintenance data; as-constructed data; installation, startup, and testing manuals; operation and maintenance manuals; and as-constructed drawings.</w:t>
      </w:r>
    </w:p>
    <w:p w14:paraId="4C135575" w14:textId="36128C25" w:rsidR="00B3031D" w:rsidRDefault="0052018B" w:rsidP="00F323CA">
      <w:pPr>
        <w:pStyle w:val="PRN"/>
      </w:pPr>
      <w:r>
        <w:lastRenderedPageBreak/>
        <w:t>Use</w:t>
      </w:r>
      <w:r w:rsidR="00B3031D">
        <w:t xml:space="preserve"> </w:t>
      </w:r>
      <w:r w:rsidR="00C76EEC">
        <w:t xml:space="preserve">the following paragraph </w:t>
      </w:r>
      <w:r w:rsidR="00B3031D">
        <w:t xml:space="preserve">only if Commissioning Section 019100 is included in the </w:t>
      </w:r>
      <w:r w:rsidR="00C76EEC">
        <w:t>contract</w:t>
      </w:r>
      <w:r w:rsidR="00B3031D">
        <w:t>.</w:t>
      </w:r>
    </w:p>
    <w:p w14:paraId="1CC24931" w14:textId="77777777" w:rsidR="00B3031D" w:rsidRDefault="00B3031D" w:rsidP="00F323CA">
      <w:pPr>
        <w:pStyle w:val="PR1"/>
        <w:keepNext/>
      </w:pPr>
      <w:r>
        <w:t>For each item specified below, submit commissioning plans and schedules; checkout, startup, operational, functional and final acceptance test plans, procedures, checklists, and reports; systems manuals; and operation and maintenance training plans.</w:t>
      </w:r>
    </w:p>
    <w:p w14:paraId="647E8E8D" w14:textId="77777777" w:rsidR="00B3031D" w:rsidRDefault="00B3031D" w:rsidP="00F323CA">
      <w:pPr>
        <w:pStyle w:val="PR2"/>
      </w:pPr>
      <w:r>
        <w:t>Water heaters.</w:t>
      </w:r>
    </w:p>
    <w:p w14:paraId="662FA870" w14:textId="77777777" w:rsidR="00B3031D" w:rsidRDefault="00B3031D" w:rsidP="00F323CA">
      <w:pPr>
        <w:pStyle w:val="PR2"/>
      </w:pPr>
      <w:r>
        <w:t>Backflow preventers.</w:t>
      </w:r>
    </w:p>
    <w:p w14:paraId="4D5DBC22" w14:textId="77777777" w:rsidR="00B3031D" w:rsidRDefault="00B3031D" w:rsidP="00F323CA">
      <w:pPr>
        <w:pStyle w:val="PR2"/>
      </w:pPr>
      <w:r>
        <w:t>Domestic water expansion tanks.</w:t>
      </w:r>
    </w:p>
    <w:p w14:paraId="20075053" w14:textId="77777777" w:rsidR="00B3031D" w:rsidRDefault="00B3031D" w:rsidP="00F323CA">
      <w:pPr>
        <w:pStyle w:val="PR2"/>
      </w:pPr>
      <w:r>
        <w:t>Hose reel/cabinets.</w:t>
      </w:r>
    </w:p>
    <w:p w14:paraId="53A1502D" w14:textId="77777777" w:rsidR="00B3031D" w:rsidRDefault="00B3031D" w:rsidP="00F323CA">
      <w:pPr>
        <w:pStyle w:val="PR2"/>
      </w:pPr>
      <w:r>
        <w:t>Grease duct interceptor washdown system.</w:t>
      </w:r>
    </w:p>
    <w:p w14:paraId="6E8DA7E2" w14:textId="77777777" w:rsidR="00B3031D" w:rsidRDefault="00B3031D" w:rsidP="00F323CA">
      <w:pPr>
        <w:pStyle w:val="PR2"/>
      </w:pPr>
      <w:r>
        <w:t>Grease traps.</w:t>
      </w:r>
    </w:p>
    <w:p w14:paraId="4B6E8BA0" w14:textId="77777777" w:rsidR="0052018B" w:rsidRDefault="0052018B" w:rsidP="00F323CA">
      <w:pPr>
        <w:pStyle w:val="ART"/>
        <w:keepNext/>
      </w:pPr>
      <w:r>
        <w:t>QUALITY ASSURANCE</w:t>
      </w:r>
    </w:p>
    <w:p w14:paraId="6AEF6325" w14:textId="77777777" w:rsidR="0052018B" w:rsidRDefault="0052018B" w:rsidP="00F323CA">
      <w:pPr>
        <w:pStyle w:val="PR1"/>
      </w:pPr>
      <w:r>
        <w:t>Regulatory Requirements:  Water heaters shall meet state energy code requirements.</w:t>
      </w:r>
    </w:p>
    <w:p w14:paraId="7CBB8377" w14:textId="77777777" w:rsidR="00B3031D" w:rsidRDefault="00B3031D" w:rsidP="00721D0C">
      <w:pPr>
        <w:pStyle w:val="PRT"/>
        <w:keepNext/>
        <w:outlineLvl w:val="1"/>
      </w:pPr>
      <w:r>
        <w:t>PRODUCTS</w:t>
      </w:r>
    </w:p>
    <w:p w14:paraId="40AF6457" w14:textId="77777777" w:rsidR="00B3031D" w:rsidRDefault="00B3031D" w:rsidP="00F323CA">
      <w:pPr>
        <w:pStyle w:val="ART"/>
        <w:keepNext/>
      </w:pPr>
      <w:r>
        <w:t>WATER HEATERS</w:t>
      </w:r>
    </w:p>
    <w:p w14:paraId="23A93E0A" w14:textId="77777777" w:rsidR="00B3031D" w:rsidRDefault="00B3031D" w:rsidP="00F323CA">
      <w:pPr>
        <w:pStyle w:val="PR1"/>
        <w:keepNext/>
      </w:pPr>
      <w:r>
        <w:t>Electric Water Heater:</w:t>
      </w:r>
    </w:p>
    <w:p w14:paraId="2EBDD6B5" w14:textId="00974901" w:rsidR="00B3031D" w:rsidRDefault="00B3031D" w:rsidP="00F323CA">
      <w:pPr>
        <w:pStyle w:val="PR2"/>
      </w:pPr>
      <w:r>
        <w:t>Acceptable Manufacturers:  A.O. Smith or pre-bid approved equal.</w:t>
      </w:r>
    </w:p>
    <w:p w14:paraId="43E2A5C3" w14:textId="77777777" w:rsidR="00B3031D" w:rsidRDefault="00B3031D" w:rsidP="00F323CA">
      <w:pPr>
        <w:pStyle w:val="PR2"/>
        <w:keepNext/>
      </w:pPr>
      <w:r>
        <w:t>Description:</w:t>
      </w:r>
    </w:p>
    <w:p w14:paraId="68FDF2AB" w14:textId="77777777" w:rsidR="00B3031D" w:rsidRDefault="00B3031D" w:rsidP="00F323CA">
      <w:pPr>
        <w:pStyle w:val="PR3"/>
      </w:pPr>
      <w:r>
        <w:t>Heavy gauge steel, fluorocarbon polymer, epoxy, or glass lined, 150 psi working pressure (ASME rated for 125 gallon size and above).</w:t>
      </w:r>
    </w:p>
    <w:p w14:paraId="7153793D" w14:textId="77777777" w:rsidR="00B3031D" w:rsidRDefault="00B3031D" w:rsidP="00F323CA">
      <w:pPr>
        <w:pStyle w:val="PR3"/>
      </w:pPr>
      <w:r>
        <w:t>Sacrificial magnesium anode unless fluorocarbon polymer lined.</w:t>
      </w:r>
    </w:p>
    <w:p w14:paraId="2A5F0150" w14:textId="77777777" w:rsidR="00B3031D" w:rsidRDefault="00B3031D" w:rsidP="00F323CA">
      <w:pPr>
        <w:pStyle w:val="PR3"/>
      </w:pPr>
      <w:r>
        <w:t>Inconel sheath rod type heating elements.</w:t>
      </w:r>
    </w:p>
    <w:p w14:paraId="19C22020" w14:textId="77777777" w:rsidR="00B3031D" w:rsidRDefault="00B3031D" w:rsidP="00F323CA">
      <w:pPr>
        <w:pStyle w:val="PR3"/>
      </w:pPr>
      <w:r>
        <w:t>One external adjusting thermostat for each element.</w:t>
      </w:r>
    </w:p>
    <w:p w14:paraId="475718BB" w14:textId="77777777" w:rsidR="00B3031D" w:rsidRDefault="00B3031D" w:rsidP="00F323CA">
      <w:pPr>
        <w:pStyle w:val="PR3"/>
      </w:pPr>
      <w:r>
        <w:t>Emersion thermostats that switch magnetic contactors through a staged sequence control (60 KW and larger).</w:t>
      </w:r>
    </w:p>
    <w:p w14:paraId="735CA51B" w14:textId="77777777" w:rsidR="00B3031D" w:rsidRDefault="00B3031D" w:rsidP="00F323CA">
      <w:pPr>
        <w:pStyle w:val="PR3"/>
      </w:pPr>
      <w:r>
        <w:t>Foam insulation with a baked enamel steel jacket to comply with ASHRAE 90 standards.</w:t>
      </w:r>
    </w:p>
    <w:p w14:paraId="44370195" w14:textId="77777777" w:rsidR="00B3031D" w:rsidRDefault="00B3031D" w:rsidP="00F323CA">
      <w:pPr>
        <w:pStyle w:val="PR3"/>
      </w:pPr>
      <w:r>
        <w:t>Manual reset high limit thermostat, ASME rated temperature and pressure relief valve and drain valve.</w:t>
      </w:r>
    </w:p>
    <w:p w14:paraId="0D4485E0" w14:textId="77777777" w:rsidR="00B3031D" w:rsidRDefault="00B3031D" w:rsidP="00F323CA">
      <w:pPr>
        <w:pStyle w:val="PR3"/>
      </w:pPr>
      <w:r>
        <w:t>UL listed, prewired, and factory tested.</w:t>
      </w:r>
    </w:p>
    <w:p w14:paraId="18D0A690" w14:textId="77777777" w:rsidR="00B3031D" w:rsidRDefault="00B3031D" w:rsidP="00F323CA">
      <w:pPr>
        <w:pStyle w:val="ART"/>
        <w:keepNext/>
      </w:pPr>
      <w:r>
        <w:t>BACKFLOW PREVENTERS</w:t>
      </w:r>
    </w:p>
    <w:p w14:paraId="1792A108" w14:textId="77777777" w:rsidR="00B3031D" w:rsidRDefault="00B3031D" w:rsidP="00F323CA">
      <w:pPr>
        <w:pStyle w:val="PR1"/>
      </w:pPr>
      <w:r>
        <w:t xml:space="preserve">Acceptable Manufacturers:  </w:t>
      </w:r>
      <w:proofErr w:type="spellStart"/>
      <w:r>
        <w:t>Febco</w:t>
      </w:r>
      <w:proofErr w:type="spellEnd"/>
      <w:r>
        <w:t xml:space="preserve">, </w:t>
      </w:r>
      <w:smartTag w:uri="urn:schemas-microsoft-com:office:smarttags" w:element="place">
        <w:r>
          <w:t>Watts</w:t>
        </w:r>
      </w:smartTag>
      <w:r>
        <w:t>, or pre-bid approved equal.</w:t>
      </w:r>
    </w:p>
    <w:p w14:paraId="6F3864A7" w14:textId="77777777" w:rsidR="00B3031D" w:rsidRDefault="00B3031D" w:rsidP="00F323CA">
      <w:pPr>
        <w:pStyle w:val="PR1"/>
        <w:keepNext/>
      </w:pPr>
      <w:r>
        <w:t>Reduced Pressure Type:</w:t>
      </w:r>
    </w:p>
    <w:p w14:paraId="617A5613" w14:textId="77777777" w:rsidR="00B3031D" w:rsidRDefault="00B3031D" w:rsidP="00F323CA">
      <w:pPr>
        <w:pStyle w:val="PR2"/>
      </w:pPr>
      <w:r>
        <w:t>2-Inch Size and Smaller:  Screwed ends with bubble-tight ball valves, bronze main valve body and cover, bronze main valve with stainless steel 316 trim and four test cocks.  Maximum working pressure of 150 psi unless scheduled.</w:t>
      </w:r>
    </w:p>
    <w:p w14:paraId="2D44F709" w14:textId="77777777" w:rsidR="00B3031D" w:rsidRDefault="00B3031D" w:rsidP="00F323CA">
      <w:pPr>
        <w:pStyle w:val="PR1"/>
        <w:keepNext/>
      </w:pPr>
      <w:r>
        <w:lastRenderedPageBreak/>
        <w:t>DCA Double Check Type:</w:t>
      </w:r>
    </w:p>
    <w:p w14:paraId="49C5EFD5" w14:textId="77777777" w:rsidR="00B3031D" w:rsidRDefault="00B3031D" w:rsidP="00F323CA">
      <w:pPr>
        <w:pStyle w:val="PR2"/>
      </w:pPr>
      <w:r>
        <w:t>2-1/2-Inch Through 10-Inch Size:  Flanged ends, cast iron check valve body and cover and bronze check valve trim.  Complete unit consisting of two independently acting spring-loaded toggle lever check valves, two shutoff valves, and four test cocks.</w:t>
      </w:r>
    </w:p>
    <w:p w14:paraId="498E96DE" w14:textId="77777777" w:rsidR="00B3031D" w:rsidRDefault="00B3031D" w:rsidP="00F323CA">
      <w:pPr>
        <w:pStyle w:val="PR1"/>
        <w:keepNext/>
      </w:pPr>
      <w:r>
        <w:t>Vacuum Breakers:</w:t>
      </w:r>
    </w:p>
    <w:p w14:paraId="7E3EB057" w14:textId="77777777" w:rsidR="00B3031D" w:rsidRDefault="00B3031D" w:rsidP="00F323CA">
      <w:pPr>
        <w:pStyle w:val="PR2"/>
      </w:pPr>
      <w:r>
        <w:t xml:space="preserve">Atmospheric Type (AVB):  1/2-inch through 2-inch size, all brass body, non-spilling type, 150 </w:t>
      </w:r>
      <w:proofErr w:type="spellStart"/>
      <w:r>
        <w:t>psig</w:t>
      </w:r>
      <w:proofErr w:type="spellEnd"/>
      <w:r>
        <w:t xml:space="preserve"> working pressure with maximum temperature of 140ºF.  Rough brass finish.</w:t>
      </w:r>
    </w:p>
    <w:p w14:paraId="45FFF6D0" w14:textId="77777777" w:rsidR="00B3031D" w:rsidRDefault="00B3031D" w:rsidP="00F323CA">
      <w:pPr>
        <w:pStyle w:val="ART"/>
        <w:keepNext/>
      </w:pPr>
      <w:r>
        <w:t>DOMESTIC WATER EXPANSION TANK</w:t>
      </w:r>
    </w:p>
    <w:p w14:paraId="07AC511F" w14:textId="77777777" w:rsidR="00B3031D" w:rsidRDefault="00B3031D" w:rsidP="00F323CA">
      <w:pPr>
        <w:pStyle w:val="PR1"/>
      </w:pPr>
      <w:r>
        <w:t xml:space="preserve">Acceptable Manufacturers:  </w:t>
      </w:r>
      <w:proofErr w:type="spellStart"/>
      <w:r>
        <w:t>Amtrol</w:t>
      </w:r>
      <w:proofErr w:type="spellEnd"/>
      <w:r>
        <w:t xml:space="preserve">, </w:t>
      </w:r>
      <w:r w:rsidR="00FC657F">
        <w:t xml:space="preserve">Armstrong, </w:t>
      </w:r>
      <w:r>
        <w:t xml:space="preserve">Bell &amp; Gossett, </w:t>
      </w:r>
      <w:r w:rsidR="00FC657F">
        <w:t xml:space="preserve">Taco, </w:t>
      </w:r>
      <w:r>
        <w:t>Wheatley, or pre-bid approved equal.</w:t>
      </w:r>
    </w:p>
    <w:p w14:paraId="78B0D7A4" w14:textId="77777777" w:rsidR="00B3031D" w:rsidRDefault="00B3031D" w:rsidP="00F323CA">
      <w:pPr>
        <w:pStyle w:val="PR1"/>
      </w:pPr>
      <w:r>
        <w:t xml:space="preserve">Expansion Tank:  Diaphragm type of welded steel, constructed and stamped in accordance with ASME code for 125 psi working pressure.  Heavy-duty butyl diaphragm shall meet FDA requirements for potable water supply.  Support with steel legs or bases for vertical installation or steel saddles for horizontal installation.  Tank shall be </w:t>
      </w:r>
      <w:proofErr w:type="spellStart"/>
      <w:r>
        <w:t>precharged</w:t>
      </w:r>
      <w:proofErr w:type="spellEnd"/>
      <w:r>
        <w:t xml:space="preserve"> with compressed air to minimum fill pressures as indicated.</w:t>
      </w:r>
    </w:p>
    <w:p w14:paraId="334DB66D" w14:textId="77777777" w:rsidR="00B3031D" w:rsidRDefault="00B3031D" w:rsidP="00F323CA">
      <w:pPr>
        <w:pStyle w:val="ART"/>
        <w:keepNext/>
      </w:pPr>
      <w:r>
        <w:t>HOSE REEL/CABINET (HRC-1)</w:t>
      </w:r>
    </w:p>
    <w:p w14:paraId="475C3336" w14:textId="46D84B82" w:rsidR="00B3031D" w:rsidRDefault="00B3031D" w:rsidP="00F323CA">
      <w:pPr>
        <w:pStyle w:val="PR1"/>
      </w:pPr>
      <w:r>
        <w:t>Acceptable Manufacturers:  Semler or pre-bid approved equal.</w:t>
      </w:r>
    </w:p>
    <w:p w14:paraId="372580A0" w14:textId="77777777" w:rsidR="00B3031D" w:rsidRDefault="00B3031D" w:rsidP="00F323CA">
      <w:pPr>
        <w:pStyle w:val="PR1"/>
      </w:pPr>
      <w:r>
        <w:t xml:space="preserve">Semler Model SI-1500 potable water cabinet with 18-inch high black painted steel angle frame, 200 feet of 1-inch hose, 1/2 HP, 120-volt motor, single phase, with electric rewind, quick coupling nozzle, pressure regulator, one pressure gauge, two </w:t>
      </w:r>
      <w:r w:rsidR="001A1143">
        <w:t>750-watt</w:t>
      </w:r>
      <w:r>
        <w:t xml:space="preserve"> cabinet heaters with thermostatic control, 120-volt 100 watt light, lockable door, duplex receptacle.  Provide slow closing valve at end of hose.</w:t>
      </w:r>
    </w:p>
    <w:p w14:paraId="34C44415" w14:textId="77777777" w:rsidR="00B3031D" w:rsidRDefault="00B3031D" w:rsidP="00F323CA">
      <w:pPr>
        <w:pStyle w:val="PR1"/>
      </w:pPr>
      <w:r>
        <w:t>Provide a 1-inch reduced pressure backflow preventer (</w:t>
      </w:r>
      <w:smartTag w:uri="urn:schemas-microsoft-com:office:smarttags" w:element="place">
        <w:r>
          <w:t>Watts</w:t>
        </w:r>
      </w:smartTag>
      <w:r>
        <w:t xml:space="preserve"> 909, </w:t>
      </w:r>
      <w:proofErr w:type="spellStart"/>
      <w:r>
        <w:t>Febco</w:t>
      </w:r>
      <w:proofErr w:type="spellEnd"/>
      <w:r>
        <w:t xml:space="preserve"> 825Y, or pre-bid approved equal) as part of the unit.  </w:t>
      </w:r>
      <w:r w:rsidR="0052018B">
        <w:t>Mount the provided</w:t>
      </w:r>
      <w:r>
        <w:t xml:space="preserve"> backflow preventer within the cabinet in the horizontal position in an accessible location for testing purposes.  </w:t>
      </w:r>
      <w:r w:rsidR="0052018B">
        <w:t>Install a</w:t>
      </w:r>
      <w:r>
        <w:t xml:space="preserve"> line size strainer within cabinet prior to backflow device.</w:t>
      </w:r>
    </w:p>
    <w:p w14:paraId="687497D1" w14:textId="77777777" w:rsidR="00B3031D" w:rsidRDefault="00B3031D" w:rsidP="00F323CA">
      <w:pPr>
        <w:pStyle w:val="ART"/>
        <w:keepNext/>
      </w:pPr>
      <w:r>
        <w:t>CATCH BASIN (CB-1)</w:t>
      </w:r>
    </w:p>
    <w:p w14:paraId="5792E21F" w14:textId="500B0290" w:rsidR="00B3031D" w:rsidRDefault="00AD3EA2" w:rsidP="00F323CA">
      <w:pPr>
        <w:pStyle w:val="PR1"/>
      </w:pPr>
      <w:bookmarkStart w:id="1" w:name="_Hlk524081061"/>
      <w:r w:rsidRPr="00AD3EA2">
        <w:t>Construct manholes, catch</w:t>
      </w:r>
      <w:r w:rsidR="00F323CA">
        <w:t xml:space="preserve"> </w:t>
      </w:r>
      <w:r w:rsidRPr="00AD3EA2">
        <w:t>basins, and cleanouts as shown on the drawings</w:t>
      </w:r>
      <w:bookmarkEnd w:id="1"/>
      <w:r w:rsidR="00B3031D">
        <w:t>.</w:t>
      </w:r>
    </w:p>
    <w:p w14:paraId="38F9AC82" w14:textId="77777777" w:rsidR="00B3031D" w:rsidRDefault="00B3031D" w:rsidP="00F323CA">
      <w:pPr>
        <w:pStyle w:val="ART"/>
        <w:keepNext/>
      </w:pPr>
      <w:r>
        <w:t>GREASE DUCT INTERCEPTOR WASHDOWN SYSTEM</w:t>
      </w:r>
    </w:p>
    <w:p w14:paraId="5D5BCA9F" w14:textId="77777777" w:rsidR="00B3031D" w:rsidRDefault="00B3031D" w:rsidP="00F323CA">
      <w:pPr>
        <w:pStyle w:val="PR1"/>
      </w:pPr>
      <w:r>
        <w:t>Acceptable Manufacturers:  Gaylord Industries, or pre-bid approved equal.</w:t>
      </w:r>
    </w:p>
    <w:p w14:paraId="257915F9" w14:textId="77777777" w:rsidR="00B3031D" w:rsidRDefault="00B3031D" w:rsidP="00F323CA">
      <w:pPr>
        <w:pStyle w:val="PR1"/>
      </w:pPr>
      <w:r>
        <w:t xml:space="preserve">General:  </w:t>
      </w:r>
      <w:r w:rsidR="0052018B">
        <w:t>Supply system</w:t>
      </w:r>
      <w:r>
        <w:t xml:space="preserve"> with 1-inch hot water connection (140ºF) and an adjustable daily 3- to 5-minute wash cycle with an inlet pressure of 40-60 psi.</w:t>
      </w:r>
    </w:p>
    <w:p w14:paraId="314CADA0" w14:textId="77777777" w:rsidR="00B3031D" w:rsidRDefault="00B3031D" w:rsidP="00F323CA">
      <w:pPr>
        <w:pStyle w:val="PR1"/>
      </w:pPr>
      <w:r>
        <w:lastRenderedPageBreak/>
        <w:t>Washdown Control Panel:  Gaylord Industries Model GPC-3000-1.00-RP consisting of, but not limited to, the following items:  ball valve, line strainer, solenoid valve, detergent tank (with G-510 soap formula), pressure/temperature gauge, microprocessor command center, detergent pump, detergent check valve, shock absorber, detergent flow switch, check valve, copper tubing, and reduced pressure backflow preventer (120 volt, 1Ø, 20 amp).</w:t>
      </w:r>
    </w:p>
    <w:p w14:paraId="65ADA77E" w14:textId="77777777" w:rsidR="00B3031D" w:rsidRDefault="00B3031D" w:rsidP="00F323CA">
      <w:pPr>
        <w:pStyle w:val="PR1"/>
      </w:pPr>
      <w:r>
        <w:t xml:space="preserve">Spray Nozzle:  Gaylord Industries 1.5 </w:t>
      </w:r>
      <w:proofErr w:type="spellStart"/>
      <w:r>
        <w:t>gpm</w:t>
      </w:r>
      <w:proofErr w:type="spellEnd"/>
      <w:r>
        <w:t xml:space="preserve"> spray nozzle.  Each nozzle shall cover a minimum area of 2 square feet.</w:t>
      </w:r>
    </w:p>
    <w:p w14:paraId="51FF7AD8" w14:textId="5BD5E981" w:rsidR="00147C95" w:rsidRDefault="00147C95" w:rsidP="00F323CA">
      <w:pPr>
        <w:pStyle w:val="PRN"/>
      </w:pPr>
      <w:r>
        <w:t>Tenant- Replace pre-bid approved equal with “</w:t>
      </w:r>
      <w:r w:rsidR="00C76EEC">
        <w:t>unless</w:t>
      </w:r>
      <w:r>
        <w:t xml:space="preserve"> approved otherwise by the Port prior to initiating work.”</w:t>
      </w:r>
    </w:p>
    <w:p w14:paraId="511883CA" w14:textId="77777777" w:rsidR="00B3031D" w:rsidRDefault="00B3031D" w:rsidP="00F323CA">
      <w:pPr>
        <w:pStyle w:val="ART"/>
        <w:keepNext/>
      </w:pPr>
      <w:r>
        <w:t>GREASE TRAPS</w:t>
      </w:r>
    </w:p>
    <w:p w14:paraId="3484B5A0" w14:textId="77777777" w:rsidR="00B3031D" w:rsidRDefault="00B3031D" w:rsidP="00F323CA">
      <w:pPr>
        <w:pStyle w:val="PR1"/>
      </w:pPr>
      <w:r>
        <w:t xml:space="preserve">Acceptable Manufacturers:  </w:t>
      </w:r>
      <w:r w:rsidR="006700F9">
        <w:t>Zurn</w:t>
      </w:r>
      <w:r>
        <w:t xml:space="preserve">, </w:t>
      </w:r>
      <w:r w:rsidR="005A26CC">
        <w:t xml:space="preserve">Endura, </w:t>
      </w:r>
      <w:r>
        <w:t>or pre-bid approved equal.</w:t>
      </w:r>
    </w:p>
    <w:p w14:paraId="62387B69" w14:textId="77777777" w:rsidR="00B3031D" w:rsidRDefault="00B3031D" w:rsidP="00F323CA">
      <w:pPr>
        <w:pStyle w:val="PR1"/>
      </w:pPr>
      <w:r>
        <w:t xml:space="preserve">Grease Traps:  Provide </w:t>
      </w:r>
      <w:r w:rsidR="006700F9">
        <w:t>grease traps with acid resistant coating, internal air relief by-pass, bronze cleanout plug, and an aluminum cover</w:t>
      </w:r>
      <w:r>
        <w:t xml:space="preserve">.  Size in accordance with the manufacturer’s recommendations for the application intended.  </w:t>
      </w:r>
      <w:r w:rsidR="006700F9">
        <w:t>Zurn Model Z1170 or Z1171</w:t>
      </w:r>
      <w:r>
        <w:t>.</w:t>
      </w:r>
    </w:p>
    <w:p w14:paraId="2BE36581" w14:textId="77777777" w:rsidR="00B3031D" w:rsidRDefault="00B3031D" w:rsidP="00F323CA">
      <w:pPr>
        <w:pStyle w:val="PR1"/>
        <w:keepNext/>
      </w:pPr>
      <w:r>
        <w:t>Service:  Provide grease traps for the following items:</w:t>
      </w:r>
    </w:p>
    <w:p w14:paraId="4DB9D117" w14:textId="77777777" w:rsidR="00B3031D" w:rsidRDefault="00B3031D" w:rsidP="00F323CA">
      <w:pPr>
        <w:pStyle w:val="PR2"/>
      </w:pPr>
      <w:r>
        <w:t>Grease duct interceptor washdown systems.</w:t>
      </w:r>
    </w:p>
    <w:p w14:paraId="6C974747" w14:textId="77777777" w:rsidR="00B3031D" w:rsidRDefault="00B3031D" w:rsidP="00F323CA">
      <w:pPr>
        <w:pStyle w:val="PR2"/>
      </w:pPr>
      <w:r>
        <w:t>Class 1 grease hoods having hood washdown systems.</w:t>
      </w:r>
    </w:p>
    <w:p w14:paraId="02966C87" w14:textId="77777777" w:rsidR="00B3031D" w:rsidRDefault="00B3031D" w:rsidP="00F323CA">
      <w:pPr>
        <w:pStyle w:val="PR2"/>
      </w:pPr>
      <w:r>
        <w:t>Pot sinks which will be used for grease hood filter washing.  Pot sinks will be reviewed on an individual basis to determine if they require discharge to a grease trap dependent on use.</w:t>
      </w:r>
    </w:p>
    <w:p w14:paraId="5FCE22B9" w14:textId="77777777" w:rsidR="00B3031D" w:rsidRDefault="00B3031D" w:rsidP="00F323CA">
      <w:pPr>
        <w:pStyle w:val="PR2"/>
      </w:pPr>
      <w:r>
        <w:t>Tilting kettles.</w:t>
      </w:r>
    </w:p>
    <w:p w14:paraId="02170F72" w14:textId="77777777" w:rsidR="00B3031D" w:rsidRDefault="00B3031D" w:rsidP="00F323CA">
      <w:pPr>
        <w:pStyle w:val="PR2"/>
      </w:pPr>
      <w:r>
        <w:t>Tilting skillets.</w:t>
      </w:r>
    </w:p>
    <w:p w14:paraId="49B832AC" w14:textId="77777777" w:rsidR="00B3031D" w:rsidRDefault="00B3031D" w:rsidP="00F323CA">
      <w:pPr>
        <w:pStyle w:val="PR2"/>
      </w:pPr>
      <w:r>
        <w:t>Woks.</w:t>
      </w:r>
    </w:p>
    <w:p w14:paraId="3A7CDB69" w14:textId="77777777" w:rsidR="006700F9" w:rsidRDefault="006700F9" w:rsidP="00F323CA">
      <w:pPr>
        <w:pStyle w:val="PR2"/>
      </w:pPr>
      <w:r>
        <w:t>Three-compartment sinks.</w:t>
      </w:r>
    </w:p>
    <w:p w14:paraId="62FA1D57" w14:textId="77777777" w:rsidR="006700F9" w:rsidRDefault="006700F9" w:rsidP="00F323CA">
      <w:pPr>
        <w:pStyle w:val="PR2"/>
      </w:pPr>
      <w:r>
        <w:t>Other fixtures used for flushing grease effluent.</w:t>
      </w:r>
    </w:p>
    <w:p w14:paraId="30447669" w14:textId="77777777" w:rsidR="003F278B" w:rsidRDefault="003F278B" w:rsidP="00F323CA">
      <w:pPr>
        <w:pStyle w:val="ART"/>
        <w:keepNext/>
      </w:pPr>
      <w:r>
        <w:t>SOLIDS INTERCEPTOR</w:t>
      </w:r>
    </w:p>
    <w:p w14:paraId="4D7F71E3" w14:textId="3147E113" w:rsidR="00C76EEC" w:rsidRDefault="00C76EEC" w:rsidP="00F323CA">
      <w:pPr>
        <w:pStyle w:val="PRN"/>
      </w:pPr>
      <w:r>
        <w:t xml:space="preserve">Use the first </w:t>
      </w:r>
      <w:r w:rsidR="003F278B">
        <w:t xml:space="preserve">paragraph where space and inlet and outlet elevations of plumbing fixtures and equipment permits installation of hard plumbed, in-line solids interceptor, readily accessible for cleaning.  </w:t>
      </w:r>
    </w:p>
    <w:p w14:paraId="2D40DFD7" w14:textId="2D926F85" w:rsidR="003F278B" w:rsidRDefault="00C76EEC" w:rsidP="00F323CA">
      <w:pPr>
        <w:pStyle w:val="PRN"/>
      </w:pPr>
      <w:r>
        <w:t xml:space="preserve">Use the second </w:t>
      </w:r>
      <w:r w:rsidR="003F278B">
        <w:t>paragraph where inlet and outlet elevations, space, and/or accessibility for cleaning of sediment b</w:t>
      </w:r>
      <w:r w:rsidR="003B60FF">
        <w:t>asket</w:t>
      </w:r>
      <w:r w:rsidR="003F278B">
        <w:t xml:space="preserve"> prohibits installation of in-line solids interceptor.</w:t>
      </w:r>
    </w:p>
    <w:p w14:paraId="2CD814CC" w14:textId="77777777" w:rsidR="003B60FF" w:rsidRDefault="003B60FF" w:rsidP="00F323CA">
      <w:pPr>
        <w:pStyle w:val="PR1"/>
        <w:keepNext/>
      </w:pPr>
      <w:r>
        <w:t>On-Floor or Semi-</w:t>
      </w:r>
      <w:r w:rsidR="00E86F07">
        <w:t xml:space="preserve">Recessed </w:t>
      </w:r>
      <w:r>
        <w:t xml:space="preserve">Installation:  Provide acid resistant, coated fabricated steel, or stainless steel, with gasketed removable latched lid and removable sediment basket.  Zurn Z1183, </w:t>
      </w:r>
      <w:r w:rsidR="005A26CC">
        <w:t xml:space="preserve">Endura, </w:t>
      </w:r>
      <w:r>
        <w:t>or equal.</w:t>
      </w:r>
    </w:p>
    <w:p w14:paraId="78A299D7" w14:textId="77777777" w:rsidR="002B313E" w:rsidRDefault="003B60FF" w:rsidP="00F323CA">
      <w:pPr>
        <w:pStyle w:val="PR2"/>
      </w:pPr>
      <w:r>
        <w:t>Sediment Basket:  Provide screens with perforation size suitable for the application intended.  Coordinate with manufacturer for best pract</w:t>
      </w:r>
      <w:r w:rsidR="002B313E">
        <w:t>ice</w:t>
      </w:r>
      <w:r>
        <w:t xml:space="preserve"> recommendations.</w:t>
      </w:r>
      <w:r w:rsidR="002B313E" w:rsidRPr="002B313E">
        <w:t xml:space="preserve"> </w:t>
      </w:r>
    </w:p>
    <w:p w14:paraId="10F4D51B" w14:textId="77777777" w:rsidR="002B313E" w:rsidRDefault="002B313E" w:rsidP="00F323CA">
      <w:pPr>
        <w:pStyle w:val="PR3"/>
      </w:pPr>
      <w:r>
        <w:t>Rice Interception:  Provide custom screen fabricated from 304 stainless steel with 3/32” perforated sheet metal lining or 14 x 14 mesh lining.</w:t>
      </w:r>
    </w:p>
    <w:p w14:paraId="1BA01400" w14:textId="65CCFE15" w:rsidR="002B313E" w:rsidRDefault="00E42DA2" w:rsidP="00F323CA">
      <w:pPr>
        <w:pStyle w:val="PR1"/>
        <w:keepNext/>
      </w:pPr>
      <w:r>
        <w:lastRenderedPageBreak/>
        <w:t>In-Si</w:t>
      </w:r>
      <w:r w:rsidR="002B313E">
        <w:t>nk Installation:  Provide custom fabricated, 16</w:t>
      </w:r>
      <w:r w:rsidR="001A1143">
        <w:t>-</w:t>
      </w:r>
      <w:r w:rsidR="002B313E">
        <w:t>gauge, 304 stainless steel basket with 3/32</w:t>
      </w:r>
      <w:r w:rsidR="005A26CC">
        <w:t>"</w:t>
      </w:r>
      <w:r w:rsidR="002B313E">
        <w:t xml:space="preserve"> perforated sheet metal lining and fold down handles.</w:t>
      </w:r>
    </w:p>
    <w:p w14:paraId="672BF766" w14:textId="77777777" w:rsidR="002B313E" w:rsidRDefault="002B313E" w:rsidP="00F323CA">
      <w:pPr>
        <w:pStyle w:val="PR2"/>
      </w:pPr>
      <w:r>
        <w:t>Design:  Submit detailed shop drawings with material specifications to the Port for review prior to proceeding with fabrications.</w:t>
      </w:r>
    </w:p>
    <w:p w14:paraId="1CBEF520" w14:textId="043C5163" w:rsidR="002B313E" w:rsidRDefault="002B313E" w:rsidP="00F323CA">
      <w:pPr>
        <w:pStyle w:val="PR2"/>
      </w:pPr>
      <w:r>
        <w:t xml:space="preserve">Fabricator:  Artic Sheet </w:t>
      </w:r>
      <w:r w:rsidR="00E86F07">
        <w:t>Metal</w:t>
      </w:r>
      <w:r>
        <w:t xml:space="preserve"> or pre-bid approved equal.</w:t>
      </w:r>
    </w:p>
    <w:p w14:paraId="64CE83C5" w14:textId="77777777" w:rsidR="00512189" w:rsidRDefault="00133244" w:rsidP="00F323CA">
      <w:pPr>
        <w:pStyle w:val="ART"/>
        <w:keepNext/>
      </w:pPr>
      <w:r>
        <w:t>FLOW CONTROL</w:t>
      </w:r>
    </w:p>
    <w:p w14:paraId="61A210C7" w14:textId="77777777" w:rsidR="00512189" w:rsidRPr="00512189" w:rsidRDefault="00512189" w:rsidP="00F323CA">
      <w:pPr>
        <w:pStyle w:val="PR1"/>
        <w:keepNext/>
      </w:pPr>
      <w:r>
        <w:t xml:space="preserve">Provide cast iron fitting with </w:t>
      </w:r>
      <w:proofErr w:type="spellStart"/>
      <w:r>
        <w:t>sani</w:t>
      </w:r>
      <w:proofErr w:type="spellEnd"/>
      <w:r>
        <w:t>-coated body, NPT threaded inlet, outlet</w:t>
      </w:r>
      <w:r w:rsidR="00E42DA2">
        <w:t>,</w:t>
      </w:r>
      <w:r>
        <w:t xml:space="preserve"> and air intake vent</w:t>
      </w:r>
      <w:r w:rsidR="00E42DA2">
        <w:t>,</w:t>
      </w:r>
      <w:r>
        <w:t xml:space="preserve"> and orifice sized per the best practice recommendations of the manufacturer and the Plumbing Drainage Institute.  Zurn Z1108, </w:t>
      </w:r>
      <w:r w:rsidR="005A26CC">
        <w:t xml:space="preserve">Endura, </w:t>
      </w:r>
      <w:r>
        <w:t xml:space="preserve">or </w:t>
      </w:r>
      <w:r w:rsidR="009277C5">
        <w:t xml:space="preserve">pre-bid approved </w:t>
      </w:r>
      <w:r>
        <w:t>equal.</w:t>
      </w:r>
    </w:p>
    <w:p w14:paraId="216A97EF" w14:textId="77777777" w:rsidR="00512189" w:rsidRDefault="00512189" w:rsidP="00F323CA">
      <w:pPr>
        <w:pStyle w:val="PR2"/>
      </w:pPr>
      <w:r>
        <w:t xml:space="preserve">Install </w:t>
      </w:r>
      <w:r w:rsidR="006700F9">
        <w:t xml:space="preserve">fitting on the discharge of each fixture connected to a grease inceptor.  Install </w:t>
      </w:r>
      <w:r>
        <w:t xml:space="preserve">between </w:t>
      </w:r>
      <w:r w:rsidR="006700F9">
        <w:t xml:space="preserve">each </w:t>
      </w:r>
      <w:r>
        <w:t>plumbing fixture served and grease interceptor.</w:t>
      </w:r>
      <w:r w:rsidR="006700F9">
        <w:t xml:space="preserve">  No more than one fixture per flow control device is permitted.</w:t>
      </w:r>
    </w:p>
    <w:p w14:paraId="1153660C" w14:textId="77777777" w:rsidR="00512189" w:rsidRDefault="00E86F07" w:rsidP="00F323CA">
      <w:pPr>
        <w:pStyle w:val="PR2"/>
      </w:pPr>
      <w:r>
        <w:t>For i</w:t>
      </w:r>
      <w:r w:rsidR="00512189">
        <w:t>nstallations with grease interceptor located below the floor of fixtures</w:t>
      </w:r>
      <w:r w:rsidR="00345EB1">
        <w:t>, i</w:t>
      </w:r>
      <w:r w:rsidR="006700F9">
        <w:t>nstall as noted above</w:t>
      </w:r>
      <w:r w:rsidR="00345EB1">
        <w:t>.  Also install</w:t>
      </w:r>
      <w:r w:rsidR="006700F9">
        <w:t xml:space="preserve"> a flow control device</w:t>
      </w:r>
      <w:r w:rsidR="00512189">
        <w:t xml:space="preserve"> </w:t>
      </w:r>
      <w:r w:rsidR="00345EB1">
        <w:t>at inlet</w:t>
      </w:r>
      <w:r w:rsidR="00512189">
        <w:t xml:space="preserve"> to</w:t>
      </w:r>
      <w:r w:rsidR="00345EB1">
        <w:t xml:space="preserve"> the</w:t>
      </w:r>
      <w:r w:rsidR="00512189">
        <w:t xml:space="preserve"> grease interceptor.  Size </w:t>
      </w:r>
      <w:r w:rsidR="006700F9">
        <w:t xml:space="preserve">all </w:t>
      </w:r>
      <w:r w:rsidR="00512189">
        <w:t>flow c</w:t>
      </w:r>
      <w:r w:rsidR="00E42DA2">
        <w:t>o</w:t>
      </w:r>
      <w:r w:rsidR="00512189">
        <w:t>ntr</w:t>
      </w:r>
      <w:r>
        <w:t>o</w:t>
      </w:r>
      <w:r w:rsidR="00512189">
        <w:t xml:space="preserve">l fittings to regulate the flow to </w:t>
      </w:r>
      <w:r w:rsidR="00345EB1">
        <w:t xml:space="preserve">1/2 </w:t>
      </w:r>
      <w:r w:rsidR="00512189">
        <w:t>the flow rate capacity of the grease interceptor.</w:t>
      </w:r>
    </w:p>
    <w:p w14:paraId="477E9301" w14:textId="77777777" w:rsidR="00977859" w:rsidRDefault="00977859" w:rsidP="00721D0C">
      <w:pPr>
        <w:pStyle w:val="PRT"/>
        <w:keepNext/>
        <w:outlineLvl w:val="1"/>
      </w:pPr>
      <w:r>
        <w:t>EXECUTION</w:t>
      </w:r>
    </w:p>
    <w:p w14:paraId="5DDA737D" w14:textId="77777777" w:rsidR="00B3031D" w:rsidRDefault="00B3031D" w:rsidP="00F323CA">
      <w:pPr>
        <w:pStyle w:val="ART"/>
        <w:keepNext/>
      </w:pPr>
      <w:r>
        <w:t>WATER HEATER INSTALLATION</w:t>
      </w:r>
    </w:p>
    <w:p w14:paraId="208D725B" w14:textId="77777777" w:rsidR="00B3031D" w:rsidRDefault="00B3031D" w:rsidP="00F323CA">
      <w:pPr>
        <w:pStyle w:val="PR1"/>
      </w:pPr>
      <w:r>
        <w:t>Install in accordance with the manufacturer’s instructions and in accordance with the OSPSC, Chapter 5.</w:t>
      </w:r>
    </w:p>
    <w:p w14:paraId="6D68CEC5" w14:textId="77777777" w:rsidR="00B3031D" w:rsidRDefault="00B3031D" w:rsidP="00F323CA">
      <w:pPr>
        <w:pStyle w:val="PR1"/>
      </w:pPr>
      <w:r>
        <w:t>Provide pressure/temperature relief valve (210ºF and 150 psi) on storage tanks.  Provide piping from relief valve to a floor drain utilizing a 1-inch air gap at discharge point.</w:t>
      </w:r>
    </w:p>
    <w:p w14:paraId="68D140DE" w14:textId="77777777" w:rsidR="006700F9" w:rsidRDefault="006700F9" w:rsidP="00F323CA">
      <w:pPr>
        <w:pStyle w:val="PR1"/>
      </w:pPr>
      <w:r>
        <w:t xml:space="preserve">Provide welded </w:t>
      </w:r>
      <w:r w:rsidR="00337BB5">
        <w:t xml:space="preserve">galvanized </w:t>
      </w:r>
      <w:r>
        <w:t xml:space="preserve">steel drain pan under each water heater with a drain line to the floor drain.  Drain line shall be separate from drain line for pressure and temperature valve.  Drain pan sides shall be a minimum </w:t>
      </w:r>
      <w:r w:rsidR="00337BB5">
        <w:t xml:space="preserve">1 1/2 </w:t>
      </w:r>
      <w:r>
        <w:t>inches tall.</w:t>
      </w:r>
    </w:p>
    <w:p w14:paraId="3EB274AB" w14:textId="77777777" w:rsidR="00B3031D" w:rsidRDefault="00B3031D" w:rsidP="00F323CA">
      <w:pPr>
        <w:pStyle w:val="ART"/>
        <w:keepNext/>
      </w:pPr>
      <w:r>
        <w:t>BACKFLOW PREVENTERS</w:t>
      </w:r>
    </w:p>
    <w:p w14:paraId="5F328CCD" w14:textId="77777777" w:rsidR="00B3031D" w:rsidRDefault="00B3031D" w:rsidP="00F323CA">
      <w:pPr>
        <w:pStyle w:val="PR1"/>
      </w:pPr>
      <w:r>
        <w:t>Install at height and location suitable for testing purposes by the local governing authority.</w:t>
      </w:r>
    </w:p>
    <w:p w14:paraId="315075A8" w14:textId="77777777" w:rsidR="00B3031D" w:rsidRDefault="00B3031D" w:rsidP="00F323CA">
      <w:pPr>
        <w:pStyle w:val="PR1"/>
      </w:pPr>
      <w:r>
        <w:t>Provide funnel drain below reduced pressure backflow device for collecting periodic discharge and testing purposes.  Pipe indirect waste from funnel drain to floor drain or to a location as noted on the drawings.  Discharge indirect waste above floor drain utilizing a 1-inch air gap.</w:t>
      </w:r>
    </w:p>
    <w:p w14:paraId="76BE780F" w14:textId="77777777" w:rsidR="00B3031D" w:rsidRDefault="00B3031D" w:rsidP="00F323CA">
      <w:pPr>
        <w:pStyle w:val="ART"/>
        <w:keepNext/>
      </w:pPr>
      <w:r>
        <w:t>HOSE REEL CABINETS</w:t>
      </w:r>
    </w:p>
    <w:p w14:paraId="0410C2FA" w14:textId="77777777" w:rsidR="00B3031D" w:rsidRDefault="00B3031D" w:rsidP="00F323CA">
      <w:pPr>
        <w:pStyle w:val="PR1"/>
      </w:pPr>
      <w:r>
        <w:t>Provide 120-volt heat trace on all exposed cold water supply piping outside of building which serves units.</w:t>
      </w:r>
    </w:p>
    <w:p w14:paraId="1214971D" w14:textId="77777777" w:rsidR="00B3031D" w:rsidRDefault="00B3031D" w:rsidP="00F323CA">
      <w:pPr>
        <w:pStyle w:val="ART"/>
        <w:keepNext/>
      </w:pPr>
      <w:r>
        <w:lastRenderedPageBreak/>
        <w:t>GREASE DUCT INTERCEPTOR AND WASHDOWN SYSTEM</w:t>
      </w:r>
    </w:p>
    <w:p w14:paraId="3AF5E00B" w14:textId="77777777" w:rsidR="00B3031D" w:rsidRDefault="00B3031D" w:rsidP="00F323CA">
      <w:pPr>
        <w:pStyle w:val="PR1"/>
      </w:pPr>
      <w:r>
        <w:t xml:space="preserve">Install control panel and provide required plumbing and electrical connections as </w:t>
      </w:r>
      <w:r w:rsidR="00977859">
        <w:t xml:space="preserve">instructed </w:t>
      </w:r>
      <w:r>
        <w:t>by the manufacturer.  Provide funnel drain assembly to grease trap and indirect waste piping from reduced pressure backflow preventer to adjacent floor drain.  Provide 1</w:t>
      </w:r>
      <w:r>
        <w:noBreakHyphen/>
        <w:t>inch supply piping from control panel to nozzle manifold within grease duct interceptor.</w:t>
      </w:r>
    </w:p>
    <w:p w14:paraId="05A0DBCB" w14:textId="77777777" w:rsidR="00B3031D" w:rsidRDefault="00B3031D" w:rsidP="00F323CA">
      <w:pPr>
        <w:pStyle w:val="PR1"/>
      </w:pPr>
      <w:r>
        <w:t>Install nozzles 10 to 12 inches from interceptor surface or as required to cover top and sides (without exhaust duct connections) of grease duct interceptor for a total coverage of all three surfaces.</w:t>
      </w:r>
    </w:p>
    <w:p w14:paraId="071CAD67" w14:textId="77777777" w:rsidR="00B3031D" w:rsidRDefault="00B3031D" w:rsidP="00F323CA">
      <w:pPr>
        <w:pStyle w:val="ART"/>
        <w:keepNext/>
      </w:pPr>
      <w:r>
        <w:t>GREASE TRAPS</w:t>
      </w:r>
      <w:r w:rsidR="00977859">
        <w:t>, SOLIDS INTERCEPTOR, AND FLOW CONTROL</w:t>
      </w:r>
    </w:p>
    <w:p w14:paraId="7234F3CC" w14:textId="77777777" w:rsidR="00B3031D" w:rsidRDefault="00B3031D" w:rsidP="00F323CA">
      <w:pPr>
        <w:pStyle w:val="PR1"/>
      </w:pPr>
      <w:r>
        <w:t xml:space="preserve">Install in accordance with the manufacturer’s </w:t>
      </w:r>
      <w:r w:rsidR="00977859">
        <w:t>instructions</w:t>
      </w:r>
      <w:r>
        <w:t xml:space="preserve"> for the application intended.</w:t>
      </w:r>
    </w:p>
    <w:p w14:paraId="7479DFD4" w14:textId="190AE9B5" w:rsidR="00B3031D" w:rsidRDefault="0052018B" w:rsidP="00F323CA">
      <w:pPr>
        <w:pStyle w:val="PRN"/>
      </w:pPr>
      <w:r>
        <w:t>Choose one of the following two articles.  Use</w:t>
      </w:r>
      <w:r w:rsidR="00B3031D">
        <w:t xml:space="preserve"> Commissioning </w:t>
      </w:r>
      <w:r>
        <w:t xml:space="preserve">if </w:t>
      </w:r>
      <w:r w:rsidR="00B3031D">
        <w:t xml:space="preserve">Section 019100 is included in the </w:t>
      </w:r>
      <w:r w:rsidR="00C76EEC">
        <w:t>contract</w:t>
      </w:r>
      <w:r w:rsidR="00B3031D">
        <w:t>; ot</w:t>
      </w:r>
      <w:r>
        <w:t>herwise use Testing</w:t>
      </w:r>
      <w:r w:rsidR="00B3031D">
        <w:t>.</w:t>
      </w:r>
    </w:p>
    <w:p w14:paraId="028CB8A3" w14:textId="77777777" w:rsidR="00B3031D" w:rsidRDefault="00B3031D" w:rsidP="00F323CA">
      <w:pPr>
        <w:pStyle w:val="ART"/>
        <w:keepNext/>
      </w:pPr>
      <w:r>
        <w:t>COMMISSIONING</w:t>
      </w:r>
    </w:p>
    <w:p w14:paraId="6B93F8FD" w14:textId="77777777" w:rsidR="00B3031D" w:rsidRDefault="00B3031D" w:rsidP="00F323CA">
      <w:pPr>
        <w:pStyle w:val="PR1"/>
        <w:keepNext/>
      </w:pPr>
      <w:r>
        <w:t>Commission the following items:</w:t>
      </w:r>
    </w:p>
    <w:p w14:paraId="26C3EF76" w14:textId="77777777" w:rsidR="00B3031D" w:rsidRDefault="00B3031D" w:rsidP="00F323CA">
      <w:pPr>
        <w:pStyle w:val="PR2"/>
      </w:pPr>
      <w:r>
        <w:t>Water heaters.</w:t>
      </w:r>
    </w:p>
    <w:p w14:paraId="45C63B7D" w14:textId="77777777" w:rsidR="00B3031D" w:rsidRDefault="00B3031D" w:rsidP="00F323CA">
      <w:pPr>
        <w:pStyle w:val="PR2"/>
      </w:pPr>
      <w:r>
        <w:t>Backflow preventers.</w:t>
      </w:r>
    </w:p>
    <w:p w14:paraId="60E4F809" w14:textId="77777777" w:rsidR="00B3031D" w:rsidRDefault="00B3031D" w:rsidP="00F323CA">
      <w:pPr>
        <w:pStyle w:val="PR2"/>
      </w:pPr>
      <w:r>
        <w:t>Domestic water expansion tanks.</w:t>
      </w:r>
    </w:p>
    <w:p w14:paraId="4B0C5200" w14:textId="77777777" w:rsidR="00B3031D" w:rsidRDefault="00B3031D" w:rsidP="00F323CA">
      <w:pPr>
        <w:pStyle w:val="PR2"/>
      </w:pPr>
      <w:r>
        <w:t>Hose reel/cabinets.</w:t>
      </w:r>
    </w:p>
    <w:p w14:paraId="32B2B6F2" w14:textId="77777777" w:rsidR="00B3031D" w:rsidRDefault="00B3031D" w:rsidP="00F323CA">
      <w:pPr>
        <w:pStyle w:val="PR2"/>
      </w:pPr>
      <w:r>
        <w:t>Grease duct interceptor washdown systems.</w:t>
      </w:r>
    </w:p>
    <w:p w14:paraId="0D213FCD" w14:textId="77777777" w:rsidR="00B3031D" w:rsidRDefault="00B3031D" w:rsidP="00F323CA">
      <w:pPr>
        <w:pStyle w:val="PR2"/>
      </w:pPr>
      <w:r>
        <w:t>Grease traps.</w:t>
      </w:r>
    </w:p>
    <w:p w14:paraId="4F9965CD" w14:textId="77777777" w:rsidR="00977859" w:rsidRDefault="00977859" w:rsidP="00F323CA">
      <w:pPr>
        <w:pStyle w:val="PR2"/>
        <w:keepNext/>
      </w:pPr>
      <w:r>
        <w:t>Flow control.</w:t>
      </w:r>
    </w:p>
    <w:p w14:paraId="4AE34A81" w14:textId="77777777" w:rsidR="00B3031D" w:rsidRDefault="00B3031D" w:rsidP="00F323CA">
      <w:pPr>
        <w:pStyle w:val="ART"/>
        <w:keepNext/>
      </w:pPr>
      <w:r>
        <w:t>TESTING</w:t>
      </w:r>
    </w:p>
    <w:p w14:paraId="0CAE1953" w14:textId="77777777" w:rsidR="00B3031D" w:rsidRDefault="00B3031D" w:rsidP="00F323CA">
      <w:pPr>
        <w:pStyle w:val="PR1"/>
        <w:keepNext/>
      </w:pPr>
      <w:r>
        <w:t>Check out, start up, and test the following items:</w:t>
      </w:r>
    </w:p>
    <w:p w14:paraId="0E0E2C32" w14:textId="77777777" w:rsidR="00B3031D" w:rsidRDefault="00B3031D" w:rsidP="00F323CA">
      <w:pPr>
        <w:pStyle w:val="PR2"/>
      </w:pPr>
      <w:r>
        <w:t>Water heaters.</w:t>
      </w:r>
    </w:p>
    <w:p w14:paraId="50C21FA1" w14:textId="77777777" w:rsidR="00B3031D" w:rsidRDefault="00B3031D" w:rsidP="00F323CA">
      <w:pPr>
        <w:pStyle w:val="PR2"/>
      </w:pPr>
      <w:r>
        <w:t>Backflow preventers.</w:t>
      </w:r>
    </w:p>
    <w:p w14:paraId="4244366F" w14:textId="77777777" w:rsidR="00B3031D" w:rsidRDefault="00B3031D" w:rsidP="00F323CA">
      <w:pPr>
        <w:pStyle w:val="PR2"/>
      </w:pPr>
      <w:r>
        <w:t>Domestic water expansion tanks.</w:t>
      </w:r>
    </w:p>
    <w:p w14:paraId="4DE91D16" w14:textId="77777777" w:rsidR="00B3031D" w:rsidRDefault="00B3031D" w:rsidP="00F323CA">
      <w:pPr>
        <w:pStyle w:val="PR2"/>
      </w:pPr>
      <w:r>
        <w:t>Hose reel/cabinets.</w:t>
      </w:r>
    </w:p>
    <w:p w14:paraId="030DA9E4" w14:textId="77777777" w:rsidR="00B3031D" w:rsidRDefault="00B3031D" w:rsidP="00F323CA">
      <w:pPr>
        <w:pStyle w:val="PR2"/>
      </w:pPr>
      <w:r>
        <w:t>Grease duct interceptor washdown systems.</w:t>
      </w:r>
    </w:p>
    <w:p w14:paraId="3E3B3B96" w14:textId="77777777" w:rsidR="00B3031D" w:rsidRDefault="00B3031D" w:rsidP="00F323CA">
      <w:pPr>
        <w:pStyle w:val="PR2"/>
      </w:pPr>
      <w:r>
        <w:t>Grease traps.</w:t>
      </w:r>
    </w:p>
    <w:p w14:paraId="0169C656" w14:textId="77777777" w:rsidR="00977859" w:rsidRDefault="00977859" w:rsidP="00F323CA">
      <w:pPr>
        <w:pStyle w:val="PR2"/>
        <w:keepNext/>
      </w:pPr>
      <w:r>
        <w:t>Flow control.</w:t>
      </w:r>
    </w:p>
    <w:p w14:paraId="51EA7761" w14:textId="77777777" w:rsidR="00B3031D" w:rsidRDefault="00B3031D" w:rsidP="00F323CA">
      <w:pPr>
        <w:pStyle w:val="EOS"/>
      </w:pPr>
      <w:r>
        <w:t>END OF SECTION 223000</w:t>
      </w:r>
    </w:p>
    <w:sectPr w:rsidR="00B3031D">
      <w:footerReference w:type="even" r:id="rId7"/>
      <w:footerReference w:type="default" r:id="rId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39EB7" w14:textId="77777777" w:rsidR="00393657" w:rsidRDefault="00393657">
      <w:r>
        <w:separator/>
      </w:r>
    </w:p>
  </w:endnote>
  <w:endnote w:type="continuationSeparator" w:id="0">
    <w:p w14:paraId="7B1887D3" w14:textId="77777777" w:rsidR="00393657" w:rsidRDefault="0039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57D72" w14:textId="77777777" w:rsidR="003871CB" w:rsidRPr="0087639E" w:rsidRDefault="003871CB" w:rsidP="003B2C71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2520"/>
      <w:gridCol w:w="6840"/>
    </w:tblGrid>
    <w:tr w:rsidR="003871CB" w:rsidRPr="002F44F9" w14:paraId="6DBE7CBA" w14:textId="77777777" w:rsidTr="004513C0">
      <w:tc>
        <w:tcPr>
          <w:tcW w:w="2520" w:type="dxa"/>
        </w:tcPr>
        <w:p w14:paraId="6E9A3795" w14:textId="77777777" w:rsidR="003871CB" w:rsidRPr="002F44F9" w:rsidRDefault="003871CB" w:rsidP="002F44F9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 w:rsidRPr="002F44F9">
            <w:rPr>
              <w:sz w:val="18"/>
              <w:szCs w:val="18"/>
            </w:rPr>
            <w:t>PLUMBING EQUIPMENT</w:t>
          </w:r>
        </w:p>
      </w:tc>
      <w:tc>
        <w:tcPr>
          <w:tcW w:w="6840" w:type="dxa"/>
        </w:tcPr>
        <w:p w14:paraId="2D533FAC" w14:textId="62371590" w:rsidR="003871CB" w:rsidRPr="002F44F9" w:rsidRDefault="00023CC4" w:rsidP="002F44F9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2F44F9">
            <w:rPr>
              <w:sz w:val="16"/>
              <w:szCs w:val="16"/>
            </w:rPr>
            <w:fldChar w:fldCharType="begin"/>
          </w:r>
          <w:r w:rsidRPr="002F44F9">
            <w:rPr>
              <w:sz w:val="16"/>
              <w:szCs w:val="16"/>
            </w:rPr>
            <w:instrText xml:space="preserve"> DATE \@ "M/d/yyyy" </w:instrText>
          </w:r>
          <w:r w:rsidRPr="002F44F9">
            <w:rPr>
              <w:sz w:val="16"/>
              <w:szCs w:val="16"/>
            </w:rPr>
            <w:fldChar w:fldCharType="separate"/>
          </w:r>
          <w:r w:rsidR="00721D0C">
            <w:rPr>
              <w:noProof/>
              <w:sz w:val="16"/>
              <w:szCs w:val="16"/>
            </w:rPr>
            <w:t>7/5/2019</w:t>
          </w:r>
          <w:r w:rsidRPr="002F44F9">
            <w:rPr>
              <w:sz w:val="16"/>
              <w:szCs w:val="16"/>
            </w:rPr>
            <w:fldChar w:fldCharType="end"/>
          </w:r>
        </w:p>
      </w:tc>
    </w:tr>
    <w:tr w:rsidR="003871CB" w:rsidRPr="002F44F9" w14:paraId="50B1D21E" w14:textId="77777777" w:rsidTr="004513C0">
      <w:tc>
        <w:tcPr>
          <w:tcW w:w="2520" w:type="dxa"/>
        </w:tcPr>
        <w:p w14:paraId="3FC3E435" w14:textId="77777777" w:rsidR="003871CB" w:rsidRPr="002F44F9" w:rsidRDefault="003871CB" w:rsidP="002F44F9">
          <w:pPr>
            <w:pStyle w:val="Footer"/>
            <w:tabs>
              <w:tab w:val="clear" w:pos="4320"/>
              <w:tab w:val="clear" w:pos="8640"/>
            </w:tabs>
            <w:rPr>
              <w:sz w:val="12"/>
              <w:szCs w:val="12"/>
            </w:rPr>
          </w:pPr>
          <w:r w:rsidRPr="002F44F9">
            <w:rPr>
              <w:sz w:val="18"/>
              <w:szCs w:val="18"/>
            </w:rPr>
            <w:t>223000-</w:t>
          </w:r>
          <w:r w:rsidRPr="002F44F9">
            <w:rPr>
              <w:rStyle w:val="PageNumber"/>
              <w:sz w:val="18"/>
              <w:szCs w:val="18"/>
            </w:rPr>
            <w:fldChar w:fldCharType="begin"/>
          </w:r>
          <w:r w:rsidRPr="002F44F9">
            <w:rPr>
              <w:rStyle w:val="PageNumber"/>
              <w:sz w:val="18"/>
              <w:szCs w:val="18"/>
            </w:rPr>
            <w:instrText xml:space="preserve"> PAGE </w:instrText>
          </w:r>
          <w:r w:rsidRPr="002F44F9">
            <w:rPr>
              <w:rStyle w:val="PageNumber"/>
              <w:sz w:val="18"/>
              <w:szCs w:val="18"/>
            </w:rPr>
            <w:fldChar w:fldCharType="separate"/>
          </w:r>
          <w:r w:rsidR="002A6071">
            <w:rPr>
              <w:rStyle w:val="PageNumber"/>
              <w:noProof/>
              <w:sz w:val="18"/>
              <w:szCs w:val="18"/>
            </w:rPr>
            <w:t>4</w:t>
          </w:r>
          <w:r w:rsidRPr="002F44F9">
            <w:rPr>
              <w:rStyle w:val="PageNumber"/>
              <w:sz w:val="18"/>
              <w:szCs w:val="18"/>
            </w:rPr>
            <w:fldChar w:fldCharType="end"/>
          </w:r>
          <w:r w:rsidRPr="002F44F9">
            <w:rPr>
              <w:sz w:val="12"/>
              <w:szCs w:val="12"/>
            </w:rPr>
            <w:t xml:space="preserve"> </w:t>
          </w:r>
        </w:p>
      </w:tc>
      <w:tc>
        <w:tcPr>
          <w:tcW w:w="6840" w:type="dxa"/>
        </w:tcPr>
        <w:p w14:paraId="591689D0" w14:textId="77777777" w:rsidR="003871CB" w:rsidRPr="002F44F9" w:rsidRDefault="003871CB" w:rsidP="002F44F9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2F44F9">
            <w:rPr>
              <w:sz w:val="16"/>
              <w:szCs w:val="16"/>
            </w:rPr>
            <w:fldChar w:fldCharType="begin"/>
          </w:r>
          <w:r w:rsidRPr="002F44F9">
            <w:rPr>
              <w:sz w:val="16"/>
              <w:szCs w:val="16"/>
            </w:rPr>
            <w:instrText xml:space="preserve"> FILENAME  \* Upper \p  \* MERGEFORMAT </w:instrText>
          </w:r>
          <w:r w:rsidRPr="002F44F9">
            <w:rPr>
              <w:sz w:val="16"/>
              <w:szCs w:val="16"/>
            </w:rPr>
            <w:fldChar w:fldCharType="separate"/>
          </w:r>
          <w:r w:rsidR="00D9128D">
            <w:rPr>
              <w:noProof/>
              <w:sz w:val="16"/>
              <w:szCs w:val="16"/>
            </w:rPr>
            <w:t>S:\MASTERS\DIV-22\223000MT.DOC</w:t>
          </w:r>
          <w:r w:rsidRPr="002F44F9">
            <w:rPr>
              <w:sz w:val="16"/>
              <w:szCs w:val="16"/>
            </w:rPr>
            <w:fldChar w:fldCharType="end"/>
          </w:r>
        </w:p>
      </w:tc>
    </w:tr>
  </w:tbl>
  <w:p w14:paraId="50D6B5C5" w14:textId="77777777" w:rsidR="003871CB" w:rsidRPr="00313098" w:rsidRDefault="003871CB" w:rsidP="003B2C71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EC7F" w14:textId="77777777" w:rsidR="003871CB" w:rsidRPr="0087639E" w:rsidRDefault="003871CB" w:rsidP="003B2C71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6930"/>
      <w:gridCol w:w="2430"/>
    </w:tblGrid>
    <w:tr w:rsidR="003871CB" w:rsidRPr="002F44F9" w14:paraId="427FCC37" w14:textId="77777777" w:rsidTr="004513C0">
      <w:tc>
        <w:tcPr>
          <w:tcW w:w="6930" w:type="dxa"/>
        </w:tcPr>
        <w:p w14:paraId="5D00A4CB" w14:textId="78DEB955" w:rsidR="003871CB" w:rsidRPr="002F44F9" w:rsidRDefault="00023CC4" w:rsidP="002F44F9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2F44F9">
            <w:rPr>
              <w:sz w:val="16"/>
              <w:szCs w:val="16"/>
            </w:rPr>
            <w:fldChar w:fldCharType="begin"/>
          </w:r>
          <w:r w:rsidRPr="002F44F9">
            <w:rPr>
              <w:sz w:val="16"/>
              <w:szCs w:val="16"/>
            </w:rPr>
            <w:instrText xml:space="preserve"> DATE \@ "M/d/yyyy" </w:instrText>
          </w:r>
          <w:r w:rsidRPr="002F44F9">
            <w:rPr>
              <w:sz w:val="16"/>
              <w:szCs w:val="16"/>
            </w:rPr>
            <w:fldChar w:fldCharType="separate"/>
          </w:r>
          <w:r w:rsidR="00721D0C">
            <w:rPr>
              <w:noProof/>
              <w:sz w:val="16"/>
              <w:szCs w:val="16"/>
            </w:rPr>
            <w:t>7/5/2019</w:t>
          </w:r>
          <w:r w:rsidRPr="002F44F9">
            <w:rPr>
              <w:sz w:val="16"/>
              <w:szCs w:val="16"/>
            </w:rPr>
            <w:fldChar w:fldCharType="end"/>
          </w:r>
        </w:p>
      </w:tc>
      <w:tc>
        <w:tcPr>
          <w:tcW w:w="2430" w:type="dxa"/>
        </w:tcPr>
        <w:p w14:paraId="7CBEE5B8" w14:textId="77777777" w:rsidR="003871CB" w:rsidRPr="002F44F9" w:rsidRDefault="003871CB" w:rsidP="002F44F9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2F44F9">
            <w:rPr>
              <w:sz w:val="18"/>
              <w:szCs w:val="18"/>
            </w:rPr>
            <w:t>PLUMBING EQUIPMENT</w:t>
          </w:r>
        </w:p>
      </w:tc>
    </w:tr>
    <w:tr w:rsidR="003871CB" w:rsidRPr="002F44F9" w14:paraId="013795F1" w14:textId="77777777" w:rsidTr="004513C0">
      <w:tc>
        <w:tcPr>
          <w:tcW w:w="6930" w:type="dxa"/>
        </w:tcPr>
        <w:p w14:paraId="3BCA23EF" w14:textId="77777777" w:rsidR="003871CB" w:rsidRPr="002F44F9" w:rsidRDefault="003871CB" w:rsidP="002F44F9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2F44F9">
            <w:rPr>
              <w:sz w:val="16"/>
              <w:szCs w:val="16"/>
            </w:rPr>
            <w:fldChar w:fldCharType="begin"/>
          </w:r>
          <w:r w:rsidRPr="002F44F9">
            <w:rPr>
              <w:sz w:val="16"/>
              <w:szCs w:val="16"/>
            </w:rPr>
            <w:instrText xml:space="preserve"> FILENAME  \* Upper \p  \* MERGEFORMAT </w:instrText>
          </w:r>
          <w:r w:rsidRPr="002F44F9">
            <w:rPr>
              <w:sz w:val="16"/>
              <w:szCs w:val="16"/>
            </w:rPr>
            <w:fldChar w:fldCharType="separate"/>
          </w:r>
          <w:r w:rsidR="00D9128D">
            <w:rPr>
              <w:noProof/>
              <w:sz w:val="16"/>
              <w:szCs w:val="16"/>
            </w:rPr>
            <w:t>S:\MASTERS\DIV-22\223000MT.DOC</w:t>
          </w:r>
          <w:r w:rsidRPr="002F44F9">
            <w:rPr>
              <w:sz w:val="16"/>
              <w:szCs w:val="16"/>
            </w:rPr>
            <w:fldChar w:fldCharType="end"/>
          </w:r>
        </w:p>
      </w:tc>
      <w:tc>
        <w:tcPr>
          <w:tcW w:w="2430" w:type="dxa"/>
        </w:tcPr>
        <w:p w14:paraId="54D16C61" w14:textId="77777777" w:rsidR="003871CB" w:rsidRPr="002F44F9" w:rsidRDefault="003871CB" w:rsidP="002F44F9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2F44F9">
            <w:rPr>
              <w:sz w:val="18"/>
              <w:szCs w:val="18"/>
            </w:rPr>
            <w:t>223000-</w:t>
          </w:r>
          <w:r w:rsidRPr="002F44F9">
            <w:rPr>
              <w:rStyle w:val="PageNumber"/>
              <w:sz w:val="18"/>
              <w:szCs w:val="18"/>
            </w:rPr>
            <w:fldChar w:fldCharType="begin"/>
          </w:r>
          <w:r w:rsidRPr="002F44F9">
            <w:rPr>
              <w:rStyle w:val="PageNumber"/>
              <w:sz w:val="18"/>
              <w:szCs w:val="18"/>
            </w:rPr>
            <w:instrText xml:space="preserve"> PAGE </w:instrText>
          </w:r>
          <w:r w:rsidRPr="002F44F9">
            <w:rPr>
              <w:rStyle w:val="PageNumber"/>
              <w:sz w:val="18"/>
              <w:szCs w:val="18"/>
            </w:rPr>
            <w:fldChar w:fldCharType="separate"/>
          </w:r>
          <w:r w:rsidR="002A6071">
            <w:rPr>
              <w:rStyle w:val="PageNumber"/>
              <w:noProof/>
              <w:sz w:val="18"/>
              <w:szCs w:val="18"/>
            </w:rPr>
            <w:t>5</w:t>
          </w:r>
          <w:r w:rsidRPr="002F44F9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4C7FE3B7" w14:textId="77777777" w:rsidR="003871CB" w:rsidRPr="00313098" w:rsidRDefault="003871CB" w:rsidP="003B2C7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BDB4C" w14:textId="77777777" w:rsidR="00393657" w:rsidRDefault="00393657">
      <w:r>
        <w:separator/>
      </w:r>
    </w:p>
  </w:footnote>
  <w:footnote w:type="continuationSeparator" w:id="0">
    <w:p w14:paraId="450D9E79" w14:textId="77777777" w:rsidR="00393657" w:rsidRDefault="0039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D0724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A1"/>
    <w:rsid w:val="00023CC4"/>
    <w:rsid w:val="000F1508"/>
    <w:rsid w:val="00122AE7"/>
    <w:rsid w:val="001266DE"/>
    <w:rsid w:val="00133244"/>
    <w:rsid w:val="00147C95"/>
    <w:rsid w:val="001816D9"/>
    <w:rsid w:val="001A1143"/>
    <w:rsid w:val="001D1CBD"/>
    <w:rsid w:val="00206970"/>
    <w:rsid w:val="00207EA7"/>
    <w:rsid w:val="002A6071"/>
    <w:rsid w:val="002A72AB"/>
    <w:rsid w:val="002B313E"/>
    <w:rsid w:val="002C35D3"/>
    <w:rsid w:val="002C6904"/>
    <w:rsid w:val="002D6B5E"/>
    <w:rsid w:val="002F44F9"/>
    <w:rsid w:val="00304D0E"/>
    <w:rsid w:val="00313098"/>
    <w:rsid w:val="00335F01"/>
    <w:rsid w:val="00337BB5"/>
    <w:rsid w:val="00345EB1"/>
    <w:rsid w:val="003654BE"/>
    <w:rsid w:val="003727EC"/>
    <w:rsid w:val="003871CB"/>
    <w:rsid w:val="00393657"/>
    <w:rsid w:val="003B2C71"/>
    <w:rsid w:val="003B60FF"/>
    <w:rsid w:val="003F278B"/>
    <w:rsid w:val="00402EB4"/>
    <w:rsid w:val="004513C0"/>
    <w:rsid w:val="004829D1"/>
    <w:rsid w:val="004B449F"/>
    <w:rsid w:val="00512189"/>
    <w:rsid w:val="0052018B"/>
    <w:rsid w:val="00520C29"/>
    <w:rsid w:val="00590CD6"/>
    <w:rsid w:val="005A26CC"/>
    <w:rsid w:val="00602D2F"/>
    <w:rsid w:val="006700F9"/>
    <w:rsid w:val="006966B4"/>
    <w:rsid w:val="006B3AFD"/>
    <w:rsid w:val="006C4AC3"/>
    <w:rsid w:val="006D2676"/>
    <w:rsid w:val="006D3789"/>
    <w:rsid w:val="00700DF5"/>
    <w:rsid w:val="007175F0"/>
    <w:rsid w:val="00721D0C"/>
    <w:rsid w:val="00741828"/>
    <w:rsid w:val="007566AF"/>
    <w:rsid w:val="007C47A1"/>
    <w:rsid w:val="00801306"/>
    <w:rsid w:val="00887090"/>
    <w:rsid w:val="008B1CE3"/>
    <w:rsid w:val="008B1E20"/>
    <w:rsid w:val="008D46DE"/>
    <w:rsid w:val="00920E37"/>
    <w:rsid w:val="0092294F"/>
    <w:rsid w:val="009277C5"/>
    <w:rsid w:val="0097269D"/>
    <w:rsid w:val="00977859"/>
    <w:rsid w:val="009A64A5"/>
    <w:rsid w:val="009C4B8C"/>
    <w:rsid w:val="00A0158D"/>
    <w:rsid w:val="00A51420"/>
    <w:rsid w:val="00A837F0"/>
    <w:rsid w:val="00A97C23"/>
    <w:rsid w:val="00AD3EA2"/>
    <w:rsid w:val="00AF2F71"/>
    <w:rsid w:val="00B3031D"/>
    <w:rsid w:val="00B96939"/>
    <w:rsid w:val="00BA6DC8"/>
    <w:rsid w:val="00BC157D"/>
    <w:rsid w:val="00BD5F06"/>
    <w:rsid w:val="00BE2E0D"/>
    <w:rsid w:val="00C06D96"/>
    <w:rsid w:val="00C40324"/>
    <w:rsid w:val="00C70C53"/>
    <w:rsid w:val="00C76EEC"/>
    <w:rsid w:val="00CB4AF0"/>
    <w:rsid w:val="00CD4F54"/>
    <w:rsid w:val="00CD51F4"/>
    <w:rsid w:val="00CE1F76"/>
    <w:rsid w:val="00D2531C"/>
    <w:rsid w:val="00D9128D"/>
    <w:rsid w:val="00D958B8"/>
    <w:rsid w:val="00DB57B0"/>
    <w:rsid w:val="00E42DA2"/>
    <w:rsid w:val="00E83DF0"/>
    <w:rsid w:val="00E86F07"/>
    <w:rsid w:val="00EB6548"/>
    <w:rsid w:val="00ED14E6"/>
    <w:rsid w:val="00EF3A75"/>
    <w:rsid w:val="00F278B9"/>
    <w:rsid w:val="00F323CA"/>
    <w:rsid w:val="00F33D05"/>
    <w:rsid w:val="00F56905"/>
    <w:rsid w:val="00F95545"/>
    <w:rsid w:val="00FB0D42"/>
    <w:rsid w:val="00FC657F"/>
    <w:rsid w:val="00FD5003"/>
    <w:rsid w:val="00FD63A8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19E5134"/>
  <w15:chartTrackingRefBased/>
  <w15:docId w15:val="{488C4A15-62F3-4FCD-8370-982956AB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autoRedefine/>
    <w:rsid w:val="00F323CA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uppressAutoHyphens/>
      <w:spacing w:before="24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B2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23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3C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56905"/>
    <w:rPr>
      <w:sz w:val="22"/>
    </w:rPr>
  </w:style>
  <w:style w:type="character" w:styleId="CommentReference">
    <w:name w:val="annotation reference"/>
    <w:basedOn w:val="DefaultParagraphFont"/>
    <w:rsid w:val="00AD3E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3EA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3EA2"/>
  </w:style>
  <w:style w:type="paragraph" w:styleId="CommentSubject">
    <w:name w:val="annotation subject"/>
    <w:basedOn w:val="CommentText"/>
    <w:next w:val="CommentText"/>
    <w:link w:val="CommentSubjectChar"/>
    <w:rsid w:val="00AD3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3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223000 - PLUMBING EQUIPMENT</vt:lpstr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223000 - PLUMBING EQUIPMENT</dc:title>
  <dc:subject/>
  <dc:creator>Port of Portland</dc:creator>
  <cp:keywords/>
  <dc:description/>
  <cp:lastModifiedBy>Schauble, Chris</cp:lastModifiedBy>
  <cp:revision>2</cp:revision>
  <cp:lastPrinted>2012-07-02T18:03:00Z</cp:lastPrinted>
  <dcterms:created xsi:type="dcterms:W3CDTF">2019-07-05T20:12:00Z</dcterms:created>
  <dcterms:modified xsi:type="dcterms:W3CDTF">2019-07-05T20:12:00Z</dcterms:modified>
</cp:coreProperties>
</file>