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762" w:rsidRDefault="002F1762" w:rsidP="00E40870">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D237F0" w:rsidRPr="00BA6E59" w:rsidRDefault="00D237F0" w:rsidP="00BA6E59">
      <w:pPr>
        <w:pStyle w:val="SCT"/>
        <w:spacing w:before="0"/>
        <w:rPr>
          <w:sz w:val="2"/>
          <w:szCs w:val="2"/>
        </w:rPr>
      </w:pPr>
    </w:p>
    <w:p w:rsidR="00E40870" w:rsidRDefault="00E40870" w:rsidP="00E40870">
      <w:pPr>
        <w:pStyle w:val="PRN"/>
      </w:pPr>
      <w:r w:rsidRPr="00181252">
        <w:t>Use this section for acreage cleanup and management.</w:t>
      </w:r>
    </w:p>
    <w:p w:rsidR="00FC72E4" w:rsidRDefault="00FC72E4" w:rsidP="001B45A7">
      <w:pPr>
        <w:pStyle w:val="SCT"/>
        <w:outlineLvl w:val="0"/>
      </w:pPr>
      <w:r>
        <w:t xml:space="preserve">SECTION </w:t>
      </w:r>
      <w:r w:rsidR="00E74CBB">
        <w:t>329200</w:t>
      </w:r>
      <w:r>
        <w:t xml:space="preserve"> - </w:t>
      </w:r>
      <w:r w:rsidR="00017465">
        <w:rPr>
          <w:rStyle w:val="NAM"/>
        </w:rPr>
        <w:t>CLEARING AND SEEDING</w:t>
      </w:r>
    </w:p>
    <w:p w:rsidR="00DA3F5D" w:rsidRDefault="00DA3F5D" w:rsidP="001B45A7">
      <w:pPr>
        <w:pStyle w:val="PRT"/>
        <w:keepNext/>
        <w:keepLines/>
        <w:outlineLvl w:val="1"/>
      </w:pPr>
      <w:bookmarkStart w:id="0" w:name="_GoBack"/>
      <w:r>
        <w:t>GENERAL</w:t>
      </w:r>
    </w:p>
    <w:bookmarkEnd w:id="0"/>
    <w:p w:rsidR="00DA3F5D" w:rsidRDefault="00DA3F5D" w:rsidP="007C07F8">
      <w:pPr>
        <w:pStyle w:val="ART"/>
        <w:keepNext/>
        <w:keepLines/>
      </w:pPr>
      <w:r>
        <w:t>DESCRIPTION</w:t>
      </w:r>
    </w:p>
    <w:p w:rsidR="00DA3F5D" w:rsidRDefault="00DA3F5D" w:rsidP="0084466B">
      <w:pPr>
        <w:pStyle w:val="PR1"/>
      </w:pPr>
      <w:r>
        <w:t>This section includes mowing, clearing, grading, and seeding of areas outlined on the drawings.</w:t>
      </w:r>
    </w:p>
    <w:p w:rsidR="00DA3F5D" w:rsidRDefault="007655F0" w:rsidP="007C07F8">
      <w:pPr>
        <w:pStyle w:val="ART"/>
        <w:keepNext/>
        <w:keepLines/>
      </w:pPr>
      <w:r>
        <w:t>REFERENCE</w:t>
      </w:r>
      <w:r w:rsidR="00DA3F5D">
        <w:t>S</w:t>
      </w:r>
    </w:p>
    <w:p w:rsidR="007655F0" w:rsidRDefault="007655F0" w:rsidP="0084466B">
      <w:pPr>
        <w:pStyle w:val="PR1"/>
      </w:pPr>
      <w:r w:rsidRPr="007655F0">
        <w:t>Association of Official Seed Analysts of North America</w:t>
      </w:r>
    </w:p>
    <w:p w:rsidR="00DA3F5D" w:rsidRDefault="001C3B9D" w:rsidP="00E40870">
      <w:pPr>
        <w:pStyle w:val="PR1"/>
        <w:keepNext/>
      </w:pPr>
      <w:r>
        <w:t>ORS:  Oregon Revised Statutes</w:t>
      </w:r>
    </w:p>
    <w:p w:rsidR="001C3B9D" w:rsidRDefault="001C3B9D" w:rsidP="001C3B9D">
      <w:pPr>
        <w:pStyle w:val="PR2"/>
      </w:pPr>
      <w:r>
        <w:t>ORS 633.320</w:t>
      </w:r>
    </w:p>
    <w:p w:rsidR="001C3B9D" w:rsidRDefault="001C3B9D" w:rsidP="001C3B9D">
      <w:pPr>
        <w:pStyle w:val="PR2"/>
      </w:pPr>
      <w:r>
        <w:t>ORS 633.330</w:t>
      </w:r>
    </w:p>
    <w:p w:rsidR="001C3B9D" w:rsidRDefault="001C3B9D" w:rsidP="001C3B9D">
      <w:pPr>
        <w:pStyle w:val="PR2"/>
      </w:pPr>
      <w:r>
        <w:t>ORS 633.340</w:t>
      </w:r>
    </w:p>
    <w:p w:rsidR="001C3B9D" w:rsidRDefault="001C3B9D" w:rsidP="001C3B9D">
      <w:pPr>
        <w:pStyle w:val="PR2"/>
      </w:pPr>
      <w:r>
        <w:t>ORS 633.361-633.495</w:t>
      </w:r>
    </w:p>
    <w:p w:rsidR="001C3B9D" w:rsidRDefault="001C3B9D" w:rsidP="001C3B9D">
      <w:pPr>
        <w:pStyle w:val="PR2"/>
      </w:pPr>
      <w:r>
        <w:t>ORS 633.511: Definitions</w:t>
      </w:r>
    </w:p>
    <w:p w:rsidR="001C3B9D" w:rsidRDefault="001C3B9D" w:rsidP="001C3B9D">
      <w:pPr>
        <w:pStyle w:val="PR2"/>
      </w:pPr>
      <w:r>
        <w:t>ORS 633.520: Labeling Agricultural Seed or Bulk Flower Seed</w:t>
      </w:r>
    </w:p>
    <w:p w:rsidR="001C3B9D" w:rsidRDefault="001C3B9D" w:rsidP="001C3B9D">
      <w:pPr>
        <w:pStyle w:val="PR2"/>
      </w:pPr>
      <w:r>
        <w:t>ORS 633.651: Prohibited Acts</w:t>
      </w:r>
    </w:p>
    <w:p w:rsidR="00DA3F5D" w:rsidRDefault="00DA3F5D" w:rsidP="007C07F8">
      <w:pPr>
        <w:pStyle w:val="ART"/>
        <w:keepNext/>
        <w:keepLines/>
      </w:pPr>
      <w:r>
        <w:t>SUBMITTALS</w:t>
      </w:r>
    </w:p>
    <w:p w:rsidR="00DA3F5D" w:rsidRDefault="00DA3F5D" w:rsidP="0084466B">
      <w:pPr>
        <w:pStyle w:val="PR1"/>
      </w:pPr>
      <w:r>
        <w:t>Prior to delivery of seed, submit one copy of grass seed analysis tag.  Tag shall state seed name(s), mixture, blend, or variety, lot number, origin of seed, each variety with its associated purity, germination and test date, percentages of crop, inert and weed, “use before” date, AMS number, and net weight.  Tag shall comply with standards established by the Official Seed Analysts of North America.</w:t>
      </w:r>
    </w:p>
    <w:p w:rsidR="00DA3F5D" w:rsidRDefault="00DA3F5D" w:rsidP="007C07F8">
      <w:pPr>
        <w:pStyle w:val="ART"/>
        <w:keepNext/>
        <w:keepLines/>
      </w:pPr>
      <w:r>
        <w:t>WORK PERIOD</w:t>
      </w:r>
    </w:p>
    <w:p w:rsidR="00DA3F5D" w:rsidRDefault="00E40870" w:rsidP="0084466B">
      <w:pPr>
        <w:pStyle w:val="PR1"/>
      </w:pPr>
      <w:r>
        <w:t>Complete s</w:t>
      </w:r>
      <w:r w:rsidR="00DA3F5D">
        <w:t xml:space="preserve">eeding and fertilizing </w:t>
      </w:r>
      <w:r>
        <w:t>between</w:t>
      </w:r>
      <w:r w:rsidR="00DA3F5D">
        <w:t xml:space="preserve"> September 15 </w:t>
      </w:r>
      <w:r>
        <w:t>and</w:t>
      </w:r>
      <w:r w:rsidR="00DA3F5D">
        <w:t xml:space="preserve"> November 1 or </w:t>
      </w:r>
      <w:r>
        <w:t>between February </w:t>
      </w:r>
      <w:r w:rsidR="00DA3F5D">
        <w:t xml:space="preserve">15 </w:t>
      </w:r>
      <w:r>
        <w:t>and</w:t>
      </w:r>
      <w:r w:rsidR="00DA3F5D">
        <w:t xml:space="preserve"> May 1.  However, if weather conditions are not advantageous to seed growth during these periods, the Port may specify alternate periods.</w:t>
      </w:r>
    </w:p>
    <w:p w:rsidR="00DA3F5D" w:rsidRPr="00BD5CF7" w:rsidRDefault="00DA3F5D" w:rsidP="001B45A7">
      <w:pPr>
        <w:pStyle w:val="PRT"/>
        <w:keepNext/>
        <w:keepLines/>
        <w:outlineLvl w:val="1"/>
      </w:pPr>
      <w:r w:rsidRPr="00BD5CF7">
        <w:lastRenderedPageBreak/>
        <w:t>PRODUCTS</w:t>
      </w:r>
    </w:p>
    <w:p w:rsidR="00DA3F5D" w:rsidRDefault="00DA3F5D" w:rsidP="007C07F8">
      <w:pPr>
        <w:pStyle w:val="ART"/>
        <w:keepNext/>
        <w:keepLines/>
      </w:pPr>
      <w:r>
        <w:t>GRASS SEED</w:t>
      </w:r>
    </w:p>
    <w:p w:rsidR="00DA3F5D" w:rsidRDefault="00DA3F5D" w:rsidP="0084466B">
      <w:pPr>
        <w:pStyle w:val="PR1"/>
      </w:pPr>
      <w:r>
        <w:t>The seed mix is to be untreated tested seed of good quality with a germination rate of at least 90</w:t>
      </w:r>
      <w:r w:rsidR="00711636">
        <w:t> </w:t>
      </w:r>
      <w:r>
        <w:t>percent and free of noxious weeds.</w:t>
      </w:r>
    </w:p>
    <w:p w:rsidR="00DA3F5D" w:rsidRDefault="00DA3F5D" w:rsidP="0084466B">
      <w:pPr>
        <w:pStyle w:val="PR1"/>
      </w:pPr>
      <w:r>
        <w:t>Seed shall be dry and not moldy and shall show no sign of having been wet or otherwise damaged.</w:t>
      </w:r>
    </w:p>
    <w:p w:rsidR="00DA3F5D" w:rsidRDefault="00E40870" w:rsidP="0084466B">
      <w:pPr>
        <w:pStyle w:val="PR1"/>
      </w:pPr>
      <w:r>
        <w:t>Label each bag</w:t>
      </w:r>
      <w:r w:rsidR="00DA3F5D">
        <w:t xml:space="preserve"> with the variety of seed and mix percentages and the supplier’s name and address and other information as required by the </w:t>
      </w:r>
      <w:smartTag w:uri="urn:schemas-microsoft-com:office:smarttags" w:element="date">
        <w:smartTag w:uri="urn:schemas-microsoft-com:office:smarttags" w:element="PlaceName">
          <w:r w:rsidR="00DA3F5D">
            <w:t>Oregon</w:t>
          </w:r>
        </w:smartTag>
        <w:r w:rsidR="00DA3F5D">
          <w:t xml:space="preserve"> </w:t>
        </w:r>
        <w:smartTag w:uri="urn:schemas-microsoft-com:office:smarttags" w:element="PlaceType">
          <w:r w:rsidR="00DA3F5D">
            <w:t>State</w:t>
          </w:r>
        </w:smartTag>
      </w:smartTag>
      <w:r w:rsidR="00DA3F5D">
        <w:t xml:space="preserve"> weed laws (ORS 633.511, 633.520, 633.651).</w:t>
      </w:r>
    </w:p>
    <w:p w:rsidR="00DA3F5D" w:rsidRDefault="00DA3F5D" w:rsidP="00E40870">
      <w:pPr>
        <w:pStyle w:val="PR1"/>
        <w:keepNext/>
      </w:pPr>
      <w:r>
        <w:t>The seed mix shall be constituted of the following types and percentages by weight:</w:t>
      </w:r>
    </w:p>
    <w:p w:rsidR="007F70BD" w:rsidRPr="007F70BD" w:rsidRDefault="007F70BD" w:rsidP="00E40870">
      <w:pPr>
        <w:keepNext/>
      </w:pPr>
    </w:p>
    <w:tbl>
      <w:tblPr>
        <w:tblW w:w="0" w:type="auto"/>
        <w:jc w:val="center"/>
        <w:tblLayout w:type="fixed"/>
        <w:tblLook w:val="0000" w:firstRow="0" w:lastRow="0" w:firstColumn="0" w:lastColumn="0" w:noHBand="0" w:noVBand="0"/>
      </w:tblPr>
      <w:tblGrid>
        <w:gridCol w:w="2610"/>
        <w:gridCol w:w="1347"/>
      </w:tblGrid>
      <w:tr w:rsidR="007F70BD" w:rsidRPr="003F468F">
        <w:trPr>
          <w:cantSplit/>
          <w:trHeight w:hRule="exact" w:val="280"/>
          <w:jc w:val="center"/>
        </w:trPr>
        <w:tc>
          <w:tcPr>
            <w:tcW w:w="2610" w:type="dxa"/>
          </w:tcPr>
          <w:p w:rsidR="007F70BD" w:rsidRPr="003F468F" w:rsidRDefault="007F70BD" w:rsidP="00E40870">
            <w:pPr>
              <w:keepNext/>
              <w:tabs>
                <w:tab w:val="left" w:pos="-720"/>
                <w:tab w:val="left" w:pos="1440"/>
                <w:tab w:val="left" w:pos="2160"/>
                <w:tab w:val="left" w:pos="2880"/>
                <w:tab w:val="left" w:pos="3600"/>
                <w:tab w:val="left" w:pos="4320"/>
                <w:tab w:val="left" w:pos="5040"/>
                <w:tab w:val="left" w:pos="5760"/>
                <w:tab w:val="left" w:pos="6480"/>
                <w:tab w:val="left" w:pos="7200"/>
              </w:tabs>
              <w:suppressAutoHyphens/>
              <w:ind w:left="175"/>
            </w:pPr>
            <w:r w:rsidRPr="003F468F">
              <w:t xml:space="preserve">Perennial </w:t>
            </w:r>
            <w:smartTag w:uri="urn:schemas-microsoft-com:office:smarttags" w:element="date">
              <w:smartTag w:uri="urn:schemas-microsoft-com:office:smarttags" w:element="City">
                <w:r w:rsidRPr="003F468F">
                  <w:t>Rye</w:t>
                </w:r>
              </w:smartTag>
            </w:smartTag>
          </w:p>
        </w:tc>
        <w:tc>
          <w:tcPr>
            <w:tcW w:w="1347" w:type="dxa"/>
          </w:tcPr>
          <w:p w:rsidR="007F70BD" w:rsidRPr="003F468F" w:rsidRDefault="007F70BD" w:rsidP="00E40870">
            <w:pPr>
              <w:keepNext/>
              <w:tabs>
                <w:tab w:val="left" w:pos="-720"/>
                <w:tab w:val="left" w:pos="2059"/>
                <w:tab w:val="left" w:pos="2880"/>
                <w:tab w:val="left" w:pos="3441"/>
                <w:tab w:val="left" w:pos="3600"/>
                <w:tab w:val="left" w:pos="4320"/>
                <w:tab w:val="left" w:pos="5040"/>
                <w:tab w:val="left" w:pos="5760"/>
                <w:tab w:val="left" w:pos="6480"/>
                <w:tab w:val="left" w:pos="7200"/>
              </w:tabs>
              <w:suppressAutoHyphens/>
              <w:ind w:left="259" w:right="381"/>
              <w:jc w:val="right"/>
            </w:pPr>
            <w:r w:rsidRPr="003F468F">
              <w:t>60%</w:t>
            </w:r>
          </w:p>
        </w:tc>
      </w:tr>
      <w:tr w:rsidR="007F70BD" w:rsidRPr="003F468F">
        <w:trPr>
          <w:cantSplit/>
          <w:trHeight w:hRule="exact" w:val="280"/>
          <w:jc w:val="center"/>
        </w:trPr>
        <w:tc>
          <w:tcPr>
            <w:tcW w:w="2610" w:type="dxa"/>
          </w:tcPr>
          <w:p w:rsidR="007F70BD" w:rsidRPr="003F468F" w:rsidRDefault="007F70BD" w:rsidP="00E40870">
            <w:pPr>
              <w:tabs>
                <w:tab w:val="left" w:pos="-720"/>
                <w:tab w:val="left" w:pos="1440"/>
                <w:tab w:val="left" w:pos="2160"/>
                <w:tab w:val="left" w:pos="2880"/>
                <w:tab w:val="left" w:pos="3600"/>
                <w:tab w:val="left" w:pos="4320"/>
                <w:tab w:val="left" w:pos="5040"/>
                <w:tab w:val="left" w:pos="5760"/>
                <w:tab w:val="left" w:pos="6480"/>
                <w:tab w:val="left" w:pos="7200"/>
              </w:tabs>
              <w:suppressAutoHyphens/>
              <w:ind w:left="175"/>
            </w:pPr>
            <w:r w:rsidRPr="003F468F">
              <w:t>Hard Fescue</w:t>
            </w:r>
          </w:p>
        </w:tc>
        <w:tc>
          <w:tcPr>
            <w:tcW w:w="1347" w:type="dxa"/>
          </w:tcPr>
          <w:p w:rsidR="007F70BD" w:rsidRPr="003F468F" w:rsidRDefault="007F70BD" w:rsidP="00E40870">
            <w:pPr>
              <w:tabs>
                <w:tab w:val="left" w:pos="-720"/>
                <w:tab w:val="left" w:pos="2059"/>
                <w:tab w:val="left" w:pos="2880"/>
                <w:tab w:val="left" w:pos="3441"/>
                <w:tab w:val="left" w:pos="3600"/>
                <w:tab w:val="left" w:pos="4320"/>
                <w:tab w:val="left" w:pos="5040"/>
                <w:tab w:val="left" w:pos="5760"/>
                <w:tab w:val="left" w:pos="6480"/>
                <w:tab w:val="left" w:pos="7200"/>
              </w:tabs>
              <w:suppressAutoHyphens/>
              <w:ind w:left="259" w:right="381"/>
              <w:jc w:val="right"/>
            </w:pPr>
            <w:r w:rsidRPr="003F468F">
              <w:t>15%</w:t>
            </w:r>
          </w:p>
        </w:tc>
      </w:tr>
      <w:tr w:rsidR="007F70BD" w:rsidRPr="003F468F">
        <w:trPr>
          <w:cantSplit/>
          <w:trHeight w:hRule="exact" w:val="280"/>
          <w:jc w:val="center"/>
        </w:trPr>
        <w:tc>
          <w:tcPr>
            <w:tcW w:w="2610" w:type="dxa"/>
          </w:tcPr>
          <w:p w:rsidR="007F70BD" w:rsidRPr="003F468F" w:rsidRDefault="007F70BD" w:rsidP="00E40870">
            <w:pPr>
              <w:tabs>
                <w:tab w:val="left" w:pos="-720"/>
                <w:tab w:val="left" w:pos="1440"/>
                <w:tab w:val="left" w:pos="2160"/>
                <w:tab w:val="left" w:pos="2880"/>
                <w:tab w:val="left" w:pos="3600"/>
                <w:tab w:val="left" w:pos="4320"/>
                <w:tab w:val="left" w:pos="5040"/>
                <w:tab w:val="left" w:pos="5760"/>
                <w:tab w:val="left" w:pos="6480"/>
                <w:tab w:val="left" w:pos="7200"/>
              </w:tabs>
              <w:suppressAutoHyphens/>
              <w:ind w:left="175"/>
            </w:pPr>
            <w:r w:rsidRPr="003F468F">
              <w:t>White Dutch Clover</w:t>
            </w:r>
          </w:p>
        </w:tc>
        <w:tc>
          <w:tcPr>
            <w:tcW w:w="1347" w:type="dxa"/>
          </w:tcPr>
          <w:p w:rsidR="007F70BD" w:rsidRPr="003F468F" w:rsidRDefault="007F70BD" w:rsidP="00E40870">
            <w:pPr>
              <w:tabs>
                <w:tab w:val="left" w:pos="-720"/>
                <w:tab w:val="left" w:pos="2059"/>
                <w:tab w:val="left" w:pos="2880"/>
                <w:tab w:val="left" w:pos="3441"/>
                <w:tab w:val="left" w:pos="3600"/>
                <w:tab w:val="left" w:pos="4320"/>
                <w:tab w:val="left" w:pos="5040"/>
                <w:tab w:val="left" w:pos="5760"/>
                <w:tab w:val="left" w:pos="6480"/>
                <w:tab w:val="left" w:pos="7200"/>
              </w:tabs>
              <w:suppressAutoHyphens/>
              <w:ind w:left="259" w:right="381"/>
              <w:jc w:val="right"/>
            </w:pPr>
            <w:r w:rsidRPr="003F468F">
              <w:t>7%</w:t>
            </w:r>
          </w:p>
        </w:tc>
      </w:tr>
      <w:tr w:rsidR="007F70BD" w:rsidRPr="003F468F">
        <w:trPr>
          <w:cantSplit/>
          <w:trHeight w:hRule="exact" w:val="280"/>
          <w:jc w:val="center"/>
        </w:trPr>
        <w:tc>
          <w:tcPr>
            <w:tcW w:w="2610" w:type="dxa"/>
          </w:tcPr>
          <w:p w:rsidR="007F70BD" w:rsidRPr="003F468F" w:rsidRDefault="007F70BD" w:rsidP="00E40870">
            <w:pPr>
              <w:tabs>
                <w:tab w:val="left" w:pos="-720"/>
                <w:tab w:val="left" w:pos="1440"/>
                <w:tab w:val="left" w:pos="2160"/>
                <w:tab w:val="left" w:pos="2880"/>
                <w:tab w:val="left" w:pos="3600"/>
                <w:tab w:val="left" w:pos="4320"/>
                <w:tab w:val="left" w:pos="5040"/>
                <w:tab w:val="left" w:pos="5760"/>
                <w:tab w:val="left" w:pos="6480"/>
                <w:tab w:val="left" w:pos="7200"/>
              </w:tabs>
              <w:suppressAutoHyphens/>
              <w:ind w:left="175"/>
            </w:pPr>
            <w:r w:rsidRPr="003F468F">
              <w:t>Strawberry Clover</w:t>
            </w:r>
          </w:p>
        </w:tc>
        <w:tc>
          <w:tcPr>
            <w:tcW w:w="1347" w:type="dxa"/>
          </w:tcPr>
          <w:p w:rsidR="007F70BD" w:rsidRPr="003F468F" w:rsidRDefault="007F70BD" w:rsidP="00E40870">
            <w:pPr>
              <w:tabs>
                <w:tab w:val="left" w:pos="-720"/>
                <w:tab w:val="left" w:pos="2059"/>
                <w:tab w:val="left" w:pos="2880"/>
                <w:tab w:val="left" w:pos="3441"/>
                <w:tab w:val="left" w:pos="3600"/>
                <w:tab w:val="left" w:pos="4320"/>
                <w:tab w:val="left" w:pos="5040"/>
                <w:tab w:val="left" w:pos="5760"/>
                <w:tab w:val="left" w:pos="6480"/>
                <w:tab w:val="left" w:pos="7200"/>
              </w:tabs>
              <w:suppressAutoHyphens/>
              <w:ind w:left="259" w:right="381"/>
              <w:jc w:val="right"/>
            </w:pPr>
            <w:r w:rsidRPr="003F468F">
              <w:t>6%</w:t>
            </w:r>
          </w:p>
        </w:tc>
      </w:tr>
      <w:tr w:rsidR="007F70BD" w:rsidRPr="003F468F">
        <w:trPr>
          <w:cantSplit/>
          <w:trHeight w:hRule="exact" w:val="280"/>
          <w:jc w:val="center"/>
        </w:trPr>
        <w:tc>
          <w:tcPr>
            <w:tcW w:w="2610" w:type="dxa"/>
          </w:tcPr>
          <w:p w:rsidR="007F70BD" w:rsidRPr="003F468F" w:rsidRDefault="007F70BD" w:rsidP="00E40870">
            <w:pPr>
              <w:tabs>
                <w:tab w:val="left" w:pos="-720"/>
                <w:tab w:val="left" w:pos="1440"/>
                <w:tab w:val="left" w:pos="2160"/>
                <w:tab w:val="left" w:pos="2880"/>
                <w:tab w:val="left" w:pos="3600"/>
                <w:tab w:val="left" w:pos="4320"/>
                <w:tab w:val="left" w:pos="5040"/>
                <w:tab w:val="left" w:pos="5760"/>
                <w:tab w:val="left" w:pos="6480"/>
                <w:tab w:val="left" w:pos="7200"/>
              </w:tabs>
              <w:suppressAutoHyphens/>
              <w:ind w:left="175"/>
            </w:pPr>
            <w:r w:rsidRPr="003F468F">
              <w:t>White Alyssum</w:t>
            </w:r>
          </w:p>
        </w:tc>
        <w:tc>
          <w:tcPr>
            <w:tcW w:w="1347" w:type="dxa"/>
          </w:tcPr>
          <w:p w:rsidR="007F70BD" w:rsidRPr="003F468F" w:rsidRDefault="007F70BD" w:rsidP="00E40870">
            <w:pPr>
              <w:tabs>
                <w:tab w:val="left" w:pos="-720"/>
                <w:tab w:val="left" w:pos="2059"/>
                <w:tab w:val="left" w:pos="2880"/>
                <w:tab w:val="left" w:pos="3441"/>
                <w:tab w:val="left" w:pos="3600"/>
                <w:tab w:val="left" w:pos="4320"/>
                <w:tab w:val="left" w:pos="5040"/>
                <w:tab w:val="left" w:pos="5760"/>
                <w:tab w:val="left" w:pos="6480"/>
                <w:tab w:val="left" w:pos="7200"/>
              </w:tabs>
              <w:suppressAutoHyphens/>
              <w:ind w:left="259" w:right="381"/>
              <w:jc w:val="right"/>
            </w:pPr>
            <w:r w:rsidRPr="003F468F">
              <w:t>5%</w:t>
            </w:r>
          </w:p>
        </w:tc>
      </w:tr>
      <w:tr w:rsidR="007F70BD" w:rsidRPr="003F468F">
        <w:trPr>
          <w:cantSplit/>
          <w:trHeight w:hRule="exact" w:val="280"/>
          <w:jc w:val="center"/>
        </w:trPr>
        <w:tc>
          <w:tcPr>
            <w:tcW w:w="2610" w:type="dxa"/>
          </w:tcPr>
          <w:p w:rsidR="007F70BD" w:rsidRPr="003F468F" w:rsidRDefault="007F70BD" w:rsidP="00E40870">
            <w:pPr>
              <w:tabs>
                <w:tab w:val="left" w:pos="-720"/>
                <w:tab w:val="left" w:pos="1440"/>
                <w:tab w:val="left" w:pos="2160"/>
                <w:tab w:val="left" w:pos="2880"/>
                <w:tab w:val="left" w:pos="3600"/>
                <w:tab w:val="left" w:pos="4320"/>
                <w:tab w:val="left" w:pos="5040"/>
                <w:tab w:val="left" w:pos="5760"/>
                <w:tab w:val="left" w:pos="6480"/>
                <w:tab w:val="left" w:pos="7200"/>
              </w:tabs>
              <w:suppressAutoHyphens/>
              <w:ind w:left="175"/>
            </w:pPr>
            <w:proofErr w:type="spellStart"/>
            <w:r w:rsidRPr="003F468F">
              <w:t>Birdsfoot</w:t>
            </w:r>
            <w:proofErr w:type="spellEnd"/>
            <w:r w:rsidRPr="003F468F">
              <w:t xml:space="preserve"> Trefoil</w:t>
            </w:r>
          </w:p>
        </w:tc>
        <w:tc>
          <w:tcPr>
            <w:tcW w:w="1347" w:type="dxa"/>
          </w:tcPr>
          <w:p w:rsidR="007F70BD" w:rsidRPr="003F468F" w:rsidRDefault="007F70BD" w:rsidP="00E40870">
            <w:pPr>
              <w:tabs>
                <w:tab w:val="left" w:pos="-720"/>
                <w:tab w:val="left" w:pos="2059"/>
                <w:tab w:val="left" w:pos="2880"/>
                <w:tab w:val="left" w:pos="3441"/>
                <w:tab w:val="left" w:pos="3600"/>
                <w:tab w:val="left" w:pos="4320"/>
                <w:tab w:val="left" w:pos="5040"/>
                <w:tab w:val="left" w:pos="5760"/>
                <w:tab w:val="left" w:pos="6480"/>
                <w:tab w:val="left" w:pos="7200"/>
              </w:tabs>
              <w:suppressAutoHyphens/>
              <w:ind w:left="259" w:right="381"/>
              <w:jc w:val="right"/>
            </w:pPr>
            <w:r w:rsidRPr="003F468F">
              <w:t>5%</w:t>
            </w:r>
          </w:p>
        </w:tc>
      </w:tr>
      <w:tr w:rsidR="007F70BD" w:rsidRPr="003F468F">
        <w:trPr>
          <w:cantSplit/>
          <w:trHeight w:hRule="exact" w:val="280"/>
          <w:jc w:val="center"/>
        </w:trPr>
        <w:tc>
          <w:tcPr>
            <w:tcW w:w="2610" w:type="dxa"/>
          </w:tcPr>
          <w:p w:rsidR="007F70BD" w:rsidRPr="003F468F" w:rsidRDefault="007F70BD" w:rsidP="00E40870">
            <w:pPr>
              <w:tabs>
                <w:tab w:val="left" w:pos="-720"/>
                <w:tab w:val="left" w:pos="1440"/>
                <w:tab w:val="left" w:pos="2160"/>
                <w:tab w:val="left" w:pos="2880"/>
                <w:tab w:val="left" w:pos="3600"/>
                <w:tab w:val="left" w:pos="4320"/>
                <w:tab w:val="left" w:pos="5040"/>
                <w:tab w:val="left" w:pos="5760"/>
                <w:tab w:val="left" w:pos="6480"/>
                <w:tab w:val="left" w:pos="7200"/>
              </w:tabs>
              <w:suppressAutoHyphens/>
              <w:spacing w:after="180"/>
              <w:ind w:left="175"/>
            </w:pPr>
            <w:r w:rsidRPr="003F468F">
              <w:t>White Yarrow</w:t>
            </w:r>
          </w:p>
        </w:tc>
        <w:tc>
          <w:tcPr>
            <w:tcW w:w="1347" w:type="dxa"/>
          </w:tcPr>
          <w:p w:rsidR="007F70BD" w:rsidRPr="003F468F" w:rsidRDefault="007F70BD" w:rsidP="00E40870">
            <w:pPr>
              <w:tabs>
                <w:tab w:val="left" w:pos="-720"/>
                <w:tab w:val="left" w:pos="2059"/>
                <w:tab w:val="left" w:pos="2880"/>
                <w:tab w:val="left" w:pos="3441"/>
                <w:tab w:val="left" w:pos="3600"/>
                <w:tab w:val="left" w:pos="4320"/>
                <w:tab w:val="left" w:pos="5040"/>
                <w:tab w:val="left" w:pos="5760"/>
                <w:tab w:val="left" w:pos="6480"/>
                <w:tab w:val="left" w:pos="7200"/>
              </w:tabs>
              <w:suppressAutoHyphens/>
              <w:spacing w:after="180"/>
              <w:ind w:left="259" w:right="381"/>
              <w:jc w:val="right"/>
            </w:pPr>
            <w:r w:rsidRPr="003F468F">
              <w:t>2%</w:t>
            </w:r>
          </w:p>
        </w:tc>
      </w:tr>
    </w:tbl>
    <w:p w:rsidR="00DA3F5D" w:rsidRDefault="00DA3F5D" w:rsidP="007C07F8">
      <w:pPr>
        <w:pStyle w:val="ART"/>
        <w:keepNext/>
        <w:keepLines/>
      </w:pPr>
      <w:r>
        <w:t>FERTILIZER</w:t>
      </w:r>
    </w:p>
    <w:p w:rsidR="00DA3F5D" w:rsidRDefault="00DA3F5D" w:rsidP="00E40870">
      <w:pPr>
        <w:pStyle w:val="PR1"/>
        <w:keepNext/>
      </w:pPr>
      <w:r>
        <w:t>The fertilizer shall be standard commercial grade and formulated to provide the following elements for plant growth in the following percentages by weight:</w:t>
      </w:r>
    </w:p>
    <w:p w:rsidR="001C536F" w:rsidRPr="00564391" w:rsidRDefault="001C536F" w:rsidP="00BA6E59">
      <w:pPr>
        <w:pStyle w:val="PRN"/>
        <w:suppressAutoHyphens/>
      </w:pPr>
      <w:r>
        <w:t>Choose one of the two tables</w:t>
      </w:r>
      <w:r w:rsidRPr="00564391">
        <w:t>.</w:t>
      </w:r>
      <w:r>
        <w:t xml:space="preserve"> The first is for non-PDX locations, the second is for PDX locations. Delete the unused option.</w:t>
      </w:r>
    </w:p>
    <w:p w:rsidR="007F70BD" w:rsidRPr="007F70BD" w:rsidRDefault="007F70BD" w:rsidP="00E40870">
      <w:pPr>
        <w:keepNext/>
      </w:pPr>
    </w:p>
    <w:tbl>
      <w:tblPr>
        <w:tblW w:w="0" w:type="auto"/>
        <w:jc w:val="center"/>
        <w:tblLayout w:type="fixed"/>
        <w:tblLook w:val="0000" w:firstRow="0" w:lastRow="0" w:firstColumn="0" w:lastColumn="0" w:noHBand="0" w:noVBand="0"/>
      </w:tblPr>
      <w:tblGrid>
        <w:gridCol w:w="2610"/>
        <w:gridCol w:w="1347"/>
      </w:tblGrid>
      <w:tr w:rsidR="007F70BD" w:rsidRPr="003F468F">
        <w:trPr>
          <w:cantSplit/>
          <w:trHeight w:hRule="exact" w:val="280"/>
          <w:jc w:val="center"/>
        </w:trPr>
        <w:tc>
          <w:tcPr>
            <w:tcW w:w="2610" w:type="dxa"/>
          </w:tcPr>
          <w:p w:rsidR="007F70BD" w:rsidRPr="003F468F" w:rsidRDefault="007F70BD" w:rsidP="007F70BD">
            <w:pPr>
              <w:keepNext/>
              <w:keepLines/>
              <w:tabs>
                <w:tab w:val="left" w:pos="1080"/>
                <w:tab w:val="left" w:pos="2232"/>
                <w:tab w:val="left" w:pos="2880"/>
                <w:tab w:val="left" w:pos="3600"/>
                <w:tab w:val="left" w:pos="5328"/>
              </w:tabs>
              <w:suppressAutoHyphens/>
            </w:pPr>
            <w:r w:rsidRPr="003F468F">
              <w:t>Nitrogen</w:t>
            </w:r>
          </w:p>
        </w:tc>
        <w:tc>
          <w:tcPr>
            <w:tcW w:w="1347" w:type="dxa"/>
          </w:tcPr>
          <w:p w:rsidR="007F70BD" w:rsidRPr="003F468F" w:rsidRDefault="007F70BD" w:rsidP="007F70BD">
            <w:pPr>
              <w:tabs>
                <w:tab w:val="left" w:pos="-720"/>
                <w:tab w:val="left" w:pos="2059"/>
                <w:tab w:val="left" w:pos="2880"/>
                <w:tab w:val="left" w:pos="3441"/>
                <w:tab w:val="left" w:pos="3600"/>
                <w:tab w:val="left" w:pos="4320"/>
                <w:tab w:val="left" w:pos="5040"/>
                <w:tab w:val="left" w:pos="5760"/>
                <w:tab w:val="left" w:pos="6480"/>
                <w:tab w:val="left" w:pos="7200"/>
              </w:tabs>
              <w:suppressAutoHyphens/>
              <w:ind w:left="259" w:right="381"/>
              <w:jc w:val="right"/>
            </w:pPr>
            <w:r w:rsidRPr="003F468F">
              <w:t>15%</w:t>
            </w:r>
          </w:p>
        </w:tc>
      </w:tr>
      <w:tr w:rsidR="007F70BD" w:rsidRPr="003F468F">
        <w:trPr>
          <w:cantSplit/>
          <w:trHeight w:hRule="exact" w:val="280"/>
          <w:jc w:val="center"/>
        </w:trPr>
        <w:tc>
          <w:tcPr>
            <w:tcW w:w="2610" w:type="dxa"/>
          </w:tcPr>
          <w:p w:rsidR="007F70BD" w:rsidRPr="003F468F" w:rsidRDefault="007F70BD" w:rsidP="007F70BD">
            <w:pPr>
              <w:keepNext/>
              <w:keepLines/>
              <w:tabs>
                <w:tab w:val="left" w:pos="1080"/>
                <w:tab w:val="left" w:pos="2232"/>
                <w:tab w:val="left" w:pos="2880"/>
                <w:tab w:val="left" w:pos="3600"/>
                <w:tab w:val="left" w:pos="5328"/>
              </w:tabs>
              <w:suppressAutoHyphens/>
            </w:pPr>
            <w:r w:rsidRPr="003F468F">
              <w:t>Phosphorous</w:t>
            </w:r>
          </w:p>
        </w:tc>
        <w:tc>
          <w:tcPr>
            <w:tcW w:w="1347" w:type="dxa"/>
          </w:tcPr>
          <w:p w:rsidR="007F70BD" w:rsidRPr="003F468F" w:rsidRDefault="007F70BD" w:rsidP="007F70BD">
            <w:pPr>
              <w:tabs>
                <w:tab w:val="left" w:pos="-720"/>
                <w:tab w:val="left" w:pos="2059"/>
                <w:tab w:val="left" w:pos="2880"/>
                <w:tab w:val="left" w:pos="3441"/>
                <w:tab w:val="left" w:pos="3600"/>
                <w:tab w:val="left" w:pos="4320"/>
                <w:tab w:val="left" w:pos="5040"/>
                <w:tab w:val="left" w:pos="5760"/>
                <w:tab w:val="left" w:pos="6480"/>
                <w:tab w:val="left" w:pos="7200"/>
              </w:tabs>
              <w:suppressAutoHyphens/>
              <w:ind w:left="259" w:right="381"/>
              <w:jc w:val="right"/>
            </w:pPr>
            <w:r w:rsidRPr="003F468F">
              <w:t>10%</w:t>
            </w:r>
          </w:p>
        </w:tc>
      </w:tr>
      <w:tr w:rsidR="007F70BD" w:rsidRPr="003F468F">
        <w:trPr>
          <w:cantSplit/>
          <w:jc w:val="center"/>
        </w:trPr>
        <w:tc>
          <w:tcPr>
            <w:tcW w:w="2610" w:type="dxa"/>
          </w:tcPr>
          <w:p w:rsidR="007F70BD" w:rsidRPr="003F468F" w:rsidRDefault="007F70BD" w:rsidP="007F70BD">
            <w:pPr>
              <w:keepNext/>
              <w:keepLines/>
              <w:tabs>
                <w:tab w:val="left" w:pos="1080"/>
                <w:tab w:val="left" w:pos="2232"/>
                <w:tab w:val="left" w:pos="2880"/>
                <w:tab w:val="left" w:pos="3600"/>
                <w:tab w:val="left" w:pos="5328"/>
              </w:tabs>
              <w:suppressAutoHyphens/>
            </w:pPr>
            <w:r w:rsidRPr="003F468F">
              <w:t>Potash</w:t>
            </w:r>
          </w:p>
        </w:tc>
        <w:tc>
          <w:tcPr>
            <w:tcW w:w="1347" w:type="dxa"/>
          </w:tcPr>
          <w:p w:rsidR="007F70BD" w:rsidRPr="003F468F" w:rsidRDefault="007F70BD" w:rsidP="007F70BD">
            <w:pPr>
              <w:tabs>
                <w:tab w:val="left" w:pos="-720"/>
                <w:tab w:val="left" w:pos="1879"/>
                <w:tab w:val="left" w:pos="2880"/>
                <w:tab w:val="left" w:pos="3441"/>
                <w:tab w:val="left" w:pos="3600"/>
                <w:tab w:val="left" w:pos="4320"/>
                <w:tab w:val="left" w:pos="5040"/>
                <w:tab w:val="left" w:pos="5760"/>
                <w:tab w:val="left" w:pos="6480"/>
                <w:tab w:val="left" w:pos="7200"/>
              </w:tabs>
              <w:suppressAutoHyphens/>
              <w:ind w:left="259" w:right="381"/>
              <w:jc w:val="right"/>
            </w:pPr>
            <w:r w:rsidRPr="003F468F">
              <w:t>10%</w:t>
            </w:r>
          </w:p>
        </w:tc>
      </w:tr>
    </w:tbl>
    <w:p w:rsidR="001C536F" w:rsidRDefault="001C536F" w:rsidP="00BA6E59">
      <w:pPr>
        <w:keepNext/>
      </w:pPr>
    </w:p>
    <w:tbl>
      <w:tblPr>
        <w:tblW w:w="0" w:type="auto"/>
        <w:jc w:val="center"/>
        <w:tblLayout w:type="fixed"/>
        <w:tblLook w:val="0000" w:firstRow="0" w:lastRow="0" w:firstColumn="0" w:lastColumn="0" w:noHBand="0" w:noVBand="0"/>
      </w:tblPr>
      <w:tblGrid>
        <w:gridCol w:w="2610"/>
        <w:gridCol w:w="1347"/>
      </w:tblGrid>
      <w:tr w:rsidR="001C536F" w:rsidRPr="003F468F" w:rsidTr="00C4618A">
        <w:trPr>
          <w:cantSplit/>
          <w:trHeight w:hRule="exact" w:val="280"/>
          <w:jc w:val="center"/>
        </w:trPr>
        <w:tc>
          <w:tcPr>
            <w:tcW w:w="2610" w:type="dxa"/>
          </w:tcPr>
          <w:p w:rsidR="001C536F" w:rsidRPr="003F468F" w:rsidRDefault="001C536F" w:rsidP="00C4618A">
            <w:pPr>
              <w:keepNext/>
              <w:keepLines/>
              <w:tabs>
                <w:tab w:val="left" w:pos="1080"/>
                <w:tab w:val="left" w:pos="2232"/>
                <w:tab w:val="left" w:pos="2880"/>
                <w:tab w:val="left" w:pos="3600"/>
                <w:tab w:val="left" w:pos="5328"/>
              </w:tabs>
              <w:suppressAutoHyphens/>
            </w:pPr>
            <w:r w:rsidRPr="003F468F">
              <w:t>Nitrogen</w:t>
            </w:r>
          </w:p>
        </w:tc>
        <w:tc>
          <w:tcPr>
            <w:tcW w:w="1347" w:type="dxa"/>
          </w:tcPr>
          <w:p w:rsidR="001C536F" w:rsidRPr="003F468F" w:rsidRDefault="001C536F" w:rsidP="00C4618A">
            <w:pPr>
              <w:tabs>
                <w:tab w:val="left" w:pos="-720"/>
                <w:tab w:val="left" w:pos="2059"/>
                <w:tab w:val="left" w:pos="2880"/>
                <w:tab w:val="left" w:pos="3441"/>
                <w:tab w:val="left" w:pos="3600"/>
                <w:tab w:val="left" w:pos="4320"/>
                <w:tab w:val="left" w:pos="5040"/>
                <w:tab w:val="left" w:pos="5760"/>
                <w:tab w:val="left" w:pos="6480"/>
                <w:tab w:val="left" w:pos="7200"/>
              </w:tabs>
              <w:suppressAutoHyphens/>
              <w:ind w:left="259" w:right="381"/>
              <w:jc w:val="right"/>
            </w:pPr>
            <w:r>
              <w:t>2</w:t>
            </w:r>
            <w:r w:rsidRPr="003F468F">
              <w:t>5%</w:t>
            </w:r>
          </w:p>
        </w:tc>
      </w:tr>
      <w:tr w:rsidR="001C536F" w:rsidRPr="003F468F" w:rsidTr="00C4618A">
        <w:trPr>
          <w:cantSplit/>
          <w:trHeight w:hRule="exact" w:val="280"/>
          <w:jc w:val="center"/>
        </w:trPr>
        <w:tc>
          <w:tcPr>
            <w:tcW w:w="2610" w:type="dxa"/>
          </w:tcPr>
          <w:p w:rsidR="001C536F" w:rsidRPr="003F468F" w:rsidRDefault="001C536F" w:rsidP="00C4618A">
            <w:pPr>
              <w:keepNext/>
              <w:keepLines/>
              <w:tabs>
                <w:tab w:val="left" w:pos="1080"/>
                <w:tab w:val="left" w:pos="2232"/>
                <w:tab w:val="left" w:pos="2880"/>
                <w:tab w:val="left" w:pos="3600"/>
                <w:tab w:val="left" w:pos="5328"/>
              </w:tabs>
              <w:suppressAutoHyphens/>
            </w:pPr>
            <w:r>
              <w:t>Potash</w:t>
            </w:r>
          </w:p>
        </w:tc>
        <w:tc>
          <w:tcPr>
            <w:tcW w:w="1347" w:type="dxa"/>
          </w:tcPr>
          <w:p w:rsidR="001C536F" w:rsidRPr="003F468F" w:rsidRDefault="001C536F" w:rsidP="00C4618A">
            <w:pPr>
              <w:tabs>
                <w:tab w:val="left" w:pos="-720"/>
                <w:tab w:val="left" w:pos="2059"/>
                <w:tab w:val="left" w:pos="2880"/>
                <w:tab w:val="left" w:pos="3441"/>
                <w:tab w:val="left" w:pos="3600"/>
                <w:tab w:val="left" w:pos="4320"/>
                <w:tab w:val="left" w:pos="5040"/>
                <w:tab w:val="left" w:pos="5760"/>
                <w:tab w:val="left" w:pos="6480"/>
                <w:tab w:val="left" w:pos="7200"/>
              </w:tabs>
              <w:suppressAutoHyphens/>
              <w:ind w:left="259" w:right="381"/>
              <w:jc w:val="right"/>
            </w:pPr>
            <w:r>
              <w:t>5</w:t>
            </w:r>
            <w:r w:rsidRPr="003F468F">
              <w:t>%</w:t>
            </w:r>
          </w:p>
        </w:tc>
      </w:tr>
      <w:tr w:rsidR="001C536F" w:rsidRPr="003F468F" w:rsidTr="00C4618A">
        <w:trPr>
          <w:cantSplit/>
          <w:jc w:val="center"/>
        </w:trPr>
        <w:tc>
          <w:tcPr>
            <w:tcW w:w="2610" w:type="dxa"/>
          </w:tcPr>
          <w:p w:rsidR="001C536F" w:rsidRPr="003F468F" w:rsidRDefault="001C536F" w:rsidP="00C4618A">
            <w:pPr>
              <w:keepNext/>
              <w:keepLines/>
              <w:tabs>
                <w:tab w:val="left" w:pos="1080"/>
                <w:tab w:val="left" w:pos="2232"/>
                <w:tab w:val="left" w:pos="2880"/>
                <w:tab w:val="left" w:pos="3600"/>
                <w:tab w:val="left" w:pos="5328"/>
              </w:tabs>
              <w:suppressAutoHyphens/>
            </w:pPr>
            <w:r>
              <w:t>Iron</w:t>
            </w:r>
          </w:p>
        </w:tc>
        <w:tc>
          <w:tcPr>
            <w:tcW w:w="1347" w:type="dxa"/>
          </w:tcPr>
          <w:p w:rsidR="001C536F" w:rsidRPr="003F468F" w:rsidRDefault="001C536F" w:rsidP="00C4618A">
            <w:pPr>
              <w:tabs>
                <w:tab w:val="left" w:pos="-720"/>
                <w:tab w:val="left" w:pos="1879"/>
                <w:tab w:val="left" w:pos="2880"/>
                <w:tab w:val="left" w:pos="3441"/>
                <w:tab w:val="left" w:pos="3600"/>
                <w:tab w:val="left" w:pos="4320"/>
                <w:tab w:val="left" w:pos="5040"/>
                <w:tab w:val="left" w:pos="5760"/>
                <w:tab w:val="left" w:pos="6480"/>
                <w:tab w:val="left" w:pos="7200"/>
              </w:tabs>
              <w:suppressAutoHyphens/>
              <w:ind w:left="259" w:right="381"/>
              <w:jc w:val="right"/>
            </w:pPr>
            <w:r>
              <w:t>3</w:t>
            </w:r>
            <w:r w:rsidRPr="003F468F">
              <w:t>%</w:t>
            </w:r>
          </w:p>
        </w:tc>
      </w:tr>
    </w:tbl>
    <w:p w:rsidR="00DA3F5D" w:rsidRDefault="00DA3F5D" w:rsidP="0084466B">
      <w:pPr>
        <w:pStyle w:val="PR1"/>
      </w:pPr>
      <w:r>
        <w:t>Fertilizer elements shall be uniformly mixed to ensure even distribution of plant nutrients.</w:t>
      </w:r>
    </w:p>
    <w:p w:rsidR="00DA3F5D" w:rsidRDefault="00DA3F5D" w:rsidP="0084466B">
      <w:pPr>
        <w:pStyle w:val="PR1"/>
      </w:pPr>
      <w:r>
        <w:t>The fertilizer shall not contain elements or materials which are detrimental to the soil or to plant growth when applied in the recommended manner.</w:t>
      </w:r>
    </w:p>
    <w:p w:rsidR="00DA3F5D" w:rsidRDefault="00DA3F5D" w:rsidP="0084466B">
      <w:pPr>
        <w:pStyle w:val="PR1"/>
      </w:pPr>
      <w:r>
        <w:t>Furnish fertilizer in a dry condition free from lumps and in granular or pelletized form suitable for dispensing with standard agricultural machinery.</w:t>
      </w:r>
    </w:p>
    <w:p w:rsidR="00DA3F5D" w:rsidRDefault="00DA3F5D" w:rsidP="0084466B">
      <w:pPr>
        <w:pStyle w:val="PR1"/>
      </w:pPr>
      <w:r>
        <w:lastRenderedPageBreak/>
        <w:t xml:space="preserve">The fertilizer shall be constituted and tested as required in the </w:t>
      </w:r>
      <w:smartTag w:uri="urn:schemas-microsoft-com:office:smarttags" w:element="date">
        <w:smartTag w:uri="urn:schemas-microsoft-com:office:smarttags" w:element="PlaceName">
          <w:r>
            <w:t>Oregon</w:t>
          </w:r>
        </w:smartTag>
        <w:r>
          <w:t xml:space="preserve"> </w:t>
        </w:r>
        <w:smartTag w:uri="urn:schemas-microsoft-com:office:smarttags" w:element="PlaceType">
          <w:r>
            <w:t>State</w:t>
          </w:r>
        </w:smartTag>
      </w:smartTag>
      <w:r>
        <w:t xml:space="preserve"> fertilizer laws (ORS 633.361 through 633.495).</w:t>
      </w:r>
    </w:p>
    <w:p w:rsidR="00DA3F5D" w:rsidRDefault="00DA3F5D" w:rsidP="0084466B">
      <w:pPr>
        <w:pStyle w:val="PR1"/>
      </w:pPr>
      <w:r>
        <w:t xml:space="preserve">Furnish fertilizer in bags marked in accordance with the </w:t>
      </w:r>
      <w:smartTag w:uri="urn:schemas-microsoft-com:office:smarttags" w:element="date">
        <w:smartTag w:uri="urn:schemas-microsoft-com:office:smarttags" w:element="PlaceName">
          <w:r>
            <w:t>Oregon</w:t>
          </w:r>
        </w:smartTag>
        <w:r>
          <w:t xml:space="preserve"> </w:t>
        </w:r>
        <w:smartTag w:uri="urn:schemas-microsoft-com:office:smarttags" w:element="PlaceType">
          <w:r>
            <w:t>State</w:t>
          </w:r>
        </w:smartTag>
      </w:smartTag>
      <w:r>
        <w:t xml:space="preserve"> fertilizer labeling laws, including net weight and guaranteed formulation (ORS 633.320, 633.330 and 633.340).</w:t>
      </w:r>
    </w:p>
    <w:p w:rsidR="00DA3F5D" w:rsidRDefault="00DA3F5D" w:rsidP="0084466B">
      <w:pPr>
        <w:pStyle w:val="PR1"/>
      </w:pPr>
      <w:r>
        <w:t>Provide storage space and weather covers, as needed, to keep the products dry until application.</w:t>
      </w:r>
    </w:p>
    <w:p w:rsidR="00DA3F5D" w:rsidRPr="00BD5CF7" w:rsidRDefault="00DA3F5D" w:rsidP="001B45A7">
      <w:pPr>
        <w:pStyle w:val="PRT"/>
        <w:keepNext/>
        <w:keepLines/>
        <w:outlineLvl w:val="1"/>
      </w:pPr>
      <w:r w:rsidRPr="00BD5CF7">
        <w:t>EXECUTION</w:t>
      </w:r>
    </w:p>
    <w:p w:rsidR="00DA3F5D" w:rsidRDefault="00DA3F5D" w:rsidP="007C07F8">
      <w:pPr>
        <w:pStyle w:val="ART"/>
        <w:keepNext/>
        <w:keepLines/>
      </w:pPr>
      <w:r>
        <w:t>WORK AREA BOUNDARIES</w:t>
      </w:r>
    </w:p>
    <w:p w:rsidR="00DA3F5D" w:rsidRDefault="00DA3F5D" w:rsidP="0084466B">
      <w:pPr>
        <w:pStyle w:val="PR1"/>
      </w:pPr>
      <w:r>
        <w:t xml:space="preserve">The boundaries adjacent to a street shall be the </w:t>
      </w:r>
      <w:proofErr w:type="spellStart"/>
      <w:r>
        <w:t>curbline</w:t>
      </w:r>
      <w:proofErr w:type="spellEnd"/>
      <w:r>
        <w:t xml:space="preserve"> or edge of pavement.</w:t>
      </w:r>
    </w:p>
    <w:p w:rsidR="00DA3F5D" w:rsidRDefault="00DA3F5D" w:rsidP="0084466B">
      <w:pPr>
        <w:pStyle w:val="PR1"/>
      </w:pPr>
      <w:r>
        <w:t>The boundaries adjacent to a drainage ditch shall be the edge of the ditch bank as defined below.  Boundaries not defined by the above shall be as shown on the drawings.</w:t>
      </w:r>
    </w:p>
    <w:p w:rsidR="00DA3F5D" w:rsidRDefault="00DA3F5D" w:rsidP="0084466B">
      <w:pPr>
        <w:pStyle w:val="PR1"/>
      </w:pPr>
      <w:r>
        <w:t>Edge of ditch bank shall be defined as that point at which the general slope of the terrain approaching the ditch changes from less than a 3:1 slope to greater than or equal to a 3:1 slope.</w:t>
      </w:r>
    </w:p>
    <w:p w:rsidR="00DA3F5D" w:rsidRDefault="00DA3F5D" w:rsidP="0084466B">
      <w:pPr>
        <w:pStyle w:val="PR1"/>
      </w:pPr>
      <w:r>
        <w:t>Branches from trees growing within the work</w:t>
      </w:r>
      <w:r>
        <w:noBreakHyphen/>
        <w:t>exempted portion of the bank shall be trimmed or removed as necessary to provide the clearance specified herein.</w:t>
      </w:r>
    </w:p>
    <w:p w:rsidR="00DA3F5D" w:rsidRDefault="00DA3F5D" w:rsidP="007C07F8">
      <w:pPr>
        <w:pStyle w:val="ART"/>
        <w:keepNext/>
        <w:keepLines/>
      </w:pPr>
      <w:r>
        <w:t>MOWING</w:t>
      </w:r>
    </w:p>
    <w:p w:rsidR="00DA3F5D" w:rsidRDefault="00DA3F5D" w:rsidP="0084466B">
      <w:pPr>
        <w:pStyle w:val="PR1"/>
      </w:pPr>
      <w:r>
        <w:t>Mow existing grass.</w:t>
      </w:r>
    </w:p>
    <w:p w:rsidR="00DA3F5D" w:rsidRDefault="00DA3F5D" w:rsidP="0084466B">
      <w:pPr>
        <w:pStyle w:val="PR1"/>
      </w:pPr>
      <w:r>
        <w:t>Mow with rotary and hammer-type flail or sickle type mower.</w:t>
      </w:r>
    </w:p>
    <w:p w:rsidR="00DA3F5D" w:rsidRDefault="00DA3F5D" w:rsidP="0084466B">
      <w:pPr>
        <w:pStyle w:val="PR1"/>
      </w:pPr>
      <w:r>
        <w:t>Height of cut shall be 2 to 4 inches above ground.</w:t>
      </w:r>
    </w:p>
    <w:p w:rsidR="00DA3F5D" w:rsidRDefault="00DA3F5D" w:rsidP="0084466B">
      <w:pPr>
        <w:pStyle w:val="PR1"/>
      </w:pPr>
      <w:r>
        <w:t>If mowed by sickle</w:t>
      </w:r>
      <w:r>
        <w:noBreakHyphen/>
        <w:t>bar mower, rake area.</w:t>
      </w:r>
    </w:p>
    <w:p w:rsidR="00DA3F5D" w:rsidRDefault="00DA3F5D" w:rsidP="0084466B">
      <w:pPr>
        <w:pStyle w:val="PR1"/>
      </w:pPr>
      <w:r>
        <w:t>Dispose of raked grass off Port property.</w:t>
      </w:r>
    </w:p>
    <w:p w:rsidR="00DA3F5D" w:rsidRDefault="00DA3F5D" w:rsidP="007C07F8">
      <w:pPr>
        <w:pStyle w:val="ART"/>
        <w:keepNext/>
        <w:keepLines/>
      </w:pPr>
      <w:r>
        <w:t>CLEARING</w:t>
      </w:r>
    </w:p>
    <w:p w:rsidR="00DA3F5D" w:rsidRDefault="00DA3F5D" w:rsidP="00E40870">
      <w:pPr>
        <w:pStyle w:val="PR1"/>
        <w:keepNext/>
      </w:pPr>
      <w:r>
        <w:t>Clear areas of berry brambles to bare earth so that evidence of their presence is removed.</w:t>
      </w:r>
    </w:p>
    <w:p w:rsidR="00DA3F5D" w:rsidRDefault="00DA3F5D" w:rsidP="005D0F02">
      <w:pPr>
        <w:pStyle w:val="PR2"/>
      </w:pPr>
      <w:r>
        <w:t>Earth within the cleared area shall be scarified and broken up by means of a disc, or other approved equipment, to a minimum depth of 6 inches.</w:t>
      </w:r>
    </w:p>
    <w:p w:rsidR="00DA3F5D" w:rsidRDefault="00DA3F5D" w:rsidP="005D0F02">
      <w:pPr>
        <w:pStyle w:val="PR2"/>
      </w:pPr>
      <w:r>
        <w:t>Thoroughly sever and disturb the root mat of the berry brambles.</w:t>
      </w:r>
    </w:p>
    <w:p w:rsidR="00DA3F5D" w:rsidRDefault="00DA3F5D" w:rsidP="0084466B">
      <w:pPr>
        <w:pStyle w:val="PR1"/>
      </w:pPr>
      <w:r>
        <w:t>Cut down and remove brush and trees less than 6 inches in diameter, unless otherwise directed by the Port.</w:t>
      </w:r>
    </w:p>
    <w:p w:rsidR="00DA3F5D" w:rsidRDefault="00DA3F5D" w:rsidP="0084466B">
      <w:pPr>
        <w:pStyle w:val="PR1"/>
      </w:pPr>
      <w:r>
        <w:t>Grub out stump and root growth to a minimum depth of 6 inches below ground surface.</w:t>
      </w:r>
    </w:p>
    <w:p w:rsidR="00DA3F5D" w:rsidRDefault="00DA3F5D" w:rsidP="0084466B">
      <w:pPr>
        <w:pStyle w:val="PR1"/>
      </w:pPr>
      <w:r>
        <w:lastRenderedPageBreak/>
        <w:t>Trim or cut back lower limbs of deciduous trees and trees designated by the Port to provide a minimum 8 1/2-foot above</w:t>
      </w:r>
      <w:r>
        <w:noBreakHyphen/>
        <w:t xml:space="preserve">ground clearance.  If this requirement would result in the removal of </w:t>
      </w:r>
      <w:proofErr w:type="gramStart"/>
      <w:r>
        <w:t>a majority of</w:t>
      </w:r>
      <w:proofErr w:type="gramEnd"/>
      <w:r>
        <w:t xml:space="preserve"> the major limbs that extend from the lower crotch of the tree, then </w:t>
      </w:r>
      <w:r w:rsidR="00E40870">
        <w:t xml:space="preserve">remove </w:t>
      </w:r>
      <w:r>
        <w:t>the entire tree per specifications herein for tree removal.</w:t>
      </w:r>
    </w:p>
    <w:p w:rsidR="00DA3F5D" w:rsidRDefault="00DA3F5D" w:rsidP="0084466B">
      <w:pPr>
        <w:pStyle w:val="PR1"/>
      </w:pPr>
      <w:r>
        <w:t xml:space="preserve">Remove fence as shown on the </w:t>
      </w:r>
      <w:r w:rsidR="004B6260">
        <w:t>drawings</w:t>
      </w:r>
      <w:r>
        <w:t>.  Remove fence posts, fencing wire, and fence railings completely and dispose of off Port property.</w:t>
      </w:r>
    </w:p>
    <w:p w:rsidR="00DA3F5D" w:rsidRDefault="00DA3F5D" w:rsidP="0084466B">
      <w:pPr>
        <w:pStyle w:val="PR1"/>
      </w:pPr>
      <w:r>
        <w:t xml:space="preserve">Remove culverts as shown on the </w:t>
      </w:r>
      <w:r w:rsidR="004B6260">
        <w:t>drawings</w:t>
      </w:r>
      <w:r>
        <w:t xml:space="preserve"> and dispose of off Port property.</w:t>
      </w:r>
    </w:p>
    <w:p w:rsidR="00DA3F5D" w:rsidRDefault="00DA3F5D" w:rsidP="00E40870">
      <w:pPr>
        <w:pStyle w:val="PR1"/>
        <w:keepNext/>
      </w:pPr>
      <w:r>
        <w:t xml:space="preserve">The following material, which is evident prior to or after mowing, shall be removed and disposed of off Port property: </w:t>
      </w:r>
    </w:p>
    <w:p w:rsidR="00DA3F5D" w:rsidRDefault="00DA3F5D" w:rsidP="005D0F02">
      <w:pPr>
        <w:pStyle w:val="PR2"/>
      </w:pPr>
      <w:r>
        <w:t>Concrete, rock, brick, and concrete block.</w:t>
      </w:r>
    </w:p>
    <w:p w:rsidR="00DA3F5D" w:rsidRDefault="00DA3F5D" w:rsidP="005D0F02">
      <w:pPr>
        <w:pStyle w:val="PR2"/>
      </w:pPr>
      <w:r>
        <w:t>Fallen and cut wood, brush, stumps, and other cleared vegetation.</w:t>
      </w:r>
    </w:p>
    <w:p w:rsidR="00DA3F5D" w:rsidRDefault="00DA3F5D" w:rsidP="005D0F02">
      <w:pPr>
        <w:pStyle w:val="PR2"/>
      </w:pPr>
      <w:r>
        <w:t xml:space="preserve">Wire or other debris causing damage or </w:t>
      </w:r>
      <w:r w:rsidR="005E1CF2">
        <w:t>hindrance</w:t>
      </w:r>
      <w:r>
        <w:t xml:space="preserve"> to the mower.</w:t>
      </w:r>
    </w:p>
    <w:p w:rsidR="00DA3F5D" w:rsidRDefault="00DA3F5D" w:rsidP="007C07F8">
      <w:pPr>
        <w:pStyle w:val="ART"/>
        <w:keepNext/>
        <w:keepLines/>
      </w:pPr>
      <w:r>
        <w:t>GRADING AND FILLING</w:t>
      </w:r>
    </w:p>
    <w:p w:rsidR="00DA3F5D" w:rsidRPr="00DA3F5D" w:rsidRDefault="00DA3F5D" w:rsidP="00181252">
      <w:pPr>
        <w:pStyle w:val="PRN"/>
      </w:pPr>
      <w:r w:rsidRPr="00DA3F5D">
        <w:t xml:space="preserve">If A and B below are used, note in the </w:t>
      </w:r>
      <w:r w:rsidR="00181252">
        <w:t>Invitation to</w:t>
      </w:r>
      <w:r w:rsidRPr="00DA3F5D">
        <w:t xml:space="preserve"> Bid.</w:t>
      </w:r>
    </w:p>
    <w:p w:rsidR="00DA3F5D" w:rsidRDefault="00DA3F5D" w:rsidP="0084466B">
      <w:pPr>
        <w:pStyle w:val="PR1"/>
      </w:pPr>
      <w:r>
        <w:t>A designated parcel of land has been established as a standard of comparison for purposes of establishing grading requirements.  This parcel of land is referred to herein as the standard.  Obtain from the Port the location of this parcel prior to bidding.</w:t>
      </w:r>
    </w:p>
    <w:p w:rsidR="00DA3F5D" w:rsidRDefault="00DA3F5D" w:rsidP="0084466B">
      <w:pPr>
        <w:pStyle w:val="PR1"/>
      </w:pPr>
      <w:r>
        <w:t>Any portion of the work area rougher than the standard shall be smooth graded by the Contractor so that it is at least as smooth as the standard.  In case of dispute, comparison between the disputed area and the standard shall be made in terms of deviation from a 10</w:t>
      </w:r>
      <w:r>
        <w:noBreakHyphen/>
        <w:t>foot straightedge laid on the ground surface.  A reasonable mean deviation determined by the standard shall be the controlling criteria applied to the disputed area.</w:t>
      </w:r>
    </w:p>
    <w:p w:rsidR="00DA3F5D" w:rsidRDefault="00DA3F5D" w:rsidP="0084466B">
      <w:pPr>
        <w:pStyle w:val="PR1"/>
      </w:pPr>
      <w:r>
        <w:t>Ruts and furrows 2 inches or more in depth shall be obliterated.</w:t>
      </w:r>
    </w:p>
    <w:p w:rsidR="00DA3F5D" w:rsidRDefault="00DA3F5D" w:rsidP="0084466B">
      <w:pPr>
        <w:pStyle w:val="PR1"/>
      </w:pPr>
      <w:r>
        <w:t>Regrade banks, except ditch banks, with existing slopes greater than 3:1 and an elevation differential of 2 feet or less between top and bottom of such slope.  Finish slope of bank shall be less than 3:1.</w:t>
      </w:r>
    </w:p>
    <w:p w:rsidR="00DA3F5D" w:rsidRDefault="00DA3F5D" w:rsidP="0084466B">
      <w:pPr>
        <w:pStyle w:val="PR1"/>
      </w:pPr>
      <w:r>
        <w:t>Clean existing ditches of debris along streets adjacent to work boundaries.  Leave no obstructing material in any ditch.</w:t>
      </w:r>
    </w:p>
    <w:p w:rsidR="00DA3F5D" w:rsidRDefault="00DA3F5D" w:rsidP="0084466B">
      <w:pPr>
        <w:pStyle w:val="PR1"/>
      </w:pPr>
      <w:r>
        <w:t>Grade, cut, and fill areas to preserve existing drainage patterns and to prevent water ponding.</w:t>
      </w:r>
    </w:p>
    <w:p w:rsidR="00DA3F5D" w:rsidRDefault="00DA3F5D" w:rsidP="0084466B">
      <w:pPr>
        <w:pStyle w:val="PR1"/>
      </w:pPr>
      <w:r>
        <w:t>Bury allowable organic material by alternating layers of organic material with layers of earth.  The maximum thickness of the layer of organic material shall be 2 feet.  The minimum thickness of the layer of earth shall be 2 feet.</w:t>
      </w:r>
    </w:p>
    <w:p w:rsidR="00DA3F5D" w:rsidRDefault="00DA3F5D" w:rsidP="0084466B">
      <w:pPr>
        <w:pStyle w:val="PR1"/>
      </w:pPr>
      <w:r>
        <w:t>Grading and filling shall comply with the approved erosion control plan.</w:t>
      </w:r>
    </w:p>
    <w:p w:rsidR="00DA3F5D" w:rsidRDefault="00DA3F5D" w:rsidP="007C07F8">
      <w:pPr>
        <w:pStyle w:val="ART"/>
        <w:keepNext/>
        <w:keepLines/>
      </w:pPr>
      <w:r>
        <w:lastRenderedPageBreak/>
        <w:t>FERTILIZING</w:t>
      </w:r>
    </w:p>
    <w:p w:rsidR="00DA3F5D" w:rsidRDefault="00DA3F5D" w:rsidP="0084466B">
      <w:pPr>
        <w:pStyle w:val="PR1"/>
      </w:pPr>
      <w:r>
        <w:t>Fertilize areas to be seeded.</w:t>
      </w:r>
    </w:p>
    <w:p w:rsidR="00DA3F5D" w:rsidRDefault="00DA3F5D" w:rsidP="0084466B">
      <w:pPr>
        <w:pStyle w:val="PR1"/>
      </w:pPr>
      <w:r>
        <w:t>Spread fertilizer with an approved spreader prior to seeding.</w:t>
      </w:r>
    </w:p>
    <w:p w:rsidR="00DA3F5D" w:rsidRDefault="00DA3F5D" w:rsidP="0084466B">
      <w:pPr>
        <w:pStyle w:val="PR1"/>
      </w:pPr>
      <w:r>
        <w:t>Thoroughly work and till into top 3 inches of soil.</w:t>
      </w:r>
    </w:p>
    <w:p w:rsidR="00DA3F5D" w:rsidRDefault="00DA3F5D" w:rsidP="0084466B">
      <w:pPr>
        <w:pStyle w:val="PR1"/>
      </w:pPr>
      <w:r>
        <w:t>Apply fertilizer at the rate of 400 pounds per acre.</w:t>
      </w:r>
    </w:p>
    <w:p w:rsidR="00DA3F5D" w:rsidRDefault="00DA3F5D" w:rsidP="0084466B">
      <w:pPr>
        <w:pStyle w:val="PR1"/>
      </w:pPr>
      <w:r>
        <w:t>Avoid direct contact between seed and fertilizer.</w:t>
      </w:r>
    </w:p>
    <w:p w:rsidR="00DA3F5D" w:rsidRDefault="00DA3F5D" w:rsidP="007C07F8">
      <w:pPr>
        <w:pStyle w:val="ART"/>
        <w:keepNext/>
        <w:keepLines/>
      </w:pPr>
      <w:r>
        <w:t>SEED BED PREPARATION</w:t>
      </w:r>
    </w:p>
    <w:p w:rsidR="00DA3F5D" w:rsidRDefault="00DA3F5D" w:rsidP="0084466B">
      <w:pPr>
        <w:pStyle w:val="PR1"/>
      </w:pPr>
      <w:r>
        <w:t>Repair graded areas as required, including damage by erosion, filling of gullies, smoothing irregularities and incidental damage.</w:t>
      </w:r>
    </w:p>
    <w:p w:rsidR="00DA3F5D" w:rsidRDefault="00DA3F5D" w:rsidP="0084466B">
      <w:pPr>
        <w:pStyle w:val="PR1"/>
      </w:pPr>
      <w:r>
        <w:t>Rake or clear areas to be seeded of stones 2 inches in any diameter, sticks, stumps, and other debris.</w:t>
      </w:r>
    </w:p>
    <w:p w:rsidR="00DA3F5D" w:rsidRDefault="00DA3F5D" w:rsidP="0084466B">
      <w:pPr>
        <w:pStyle w:val="PR1"/>
      </w:pPr>
      <w:r>
        <w:t>Thoroughly loosen and work the upper 5 inches minimum of the seed bed.</w:t>
      </w:r>
    </w:p>
    <w:p w:rsidR="00DA3F5D" w:rsidRDefault="00DA3F5D" w:rsidP="0084466B">
      <w:pPr>
        <w:pStyle w:val="PR1"/>
      </w:pPr>
      <w:r>
        <w:t>Top 3 inches of soil shall be loose, friable</w:t>
      </w:r>
      <w:r w:rsidR="00E40870">
        <w:t>,</w:t>
      </w:r>
      <w:r>
        <w:t xml:space="preserve"> and reasonably free of undesirable matter, rocks, and clods.</w:t>
      </w:r>
    </w:p>
    <w:p w:rsidR="00DA3F5D" w:rsidRDefault="00DA3F5D" w:rsidP="007C07F8">
      <w:pPr>
        <w:pStyle w:val="ART"/>
        <w:keepNext/>
        <w:keepLines/>
      </w:pPr>
      <w:r>
        <w:t>SEEDING</w:t>
      </w:r>
    </w:p>
    <w:p w:rsidR="00DA3F5D" w:rsidRDefault="00DA3F5D" w:rsidP="0084466B">
      <w:pPr>
        <w:pStyle w:val="PR1"/>
      </w:pPr>
      <w:r>
        <w:t>Seed bare and scarified areas, or as shown on the drawings.</w:t>
      </w:r>
    </w:p>
    <w:p w:rsidR="00DA3F5D" w:rsidRPr="00DA3F5D" w:rsidRDefault="00DA3F5D" w:rsidP="00181252">
      <w:pPr>
        <w:pStyle w:val="PRN"/>
      </w:pPr>
      <w:r w:rsidRPr="00DA3F5D">
        <w:t>Specify the preferred method of seeding for this area.</w:t>
      </w:r>
    </w:p>
    <w:p w:rsidR="00DA3F5D" w:rsidRDefault="00DA3F5D" w:rsidP="0084466B">
      <w:pPr>
        <w:pStyle w:val="PR1"/>
      </w:pPr>
      <w:r>
        <w:t>Seeding Method</w:t>
      </w:r>
      <w:proofErr w:type="gramStart"/>
      <w:r>
        <w:t>:  [</w:t>
      </w:r>
      <w:proofErr w:type="gramEnd"/>
      <w:r>
        <w:t xml:space="preserve">        ].</w:t>
      </w:r>
    </w:p>
    <w:p w:rsidR="00DA3F5D" w:rsidRDefault="00DA3F5D" w:rsidP="0084466B">
      <w:pPr>
        <w:pStyle w:val="PR1"/>
      </w:pPr>
      <w:r>
        <w:t>Sow seed at rate of 200 pounds of seed per acre.</w:t>
      </w:r>
    </w:p>
    <w:p w:rsidR="00DA3F5D" w:rsidRDefault="00DA3F5D" w:rsidP="0084466B">
      <w:pPr>
        <w:pStyle w:val="PR1"/>
      </w:pPr>
      <w:r>
        <w:t>Seed in one direction over an entire area.</w:t>
      </w:r>
    </w:p>
    <w:p w:rsidR="00DA3F5D" w:rsidRDefault="00DA3F5D" w:rsidP="0084466B">
      <w:pPr>
        <w:pStyle w:val="PR1"/>
      </w:pPr>
      <w:r>
        <w:t>Be responsible for producing a uniform dense stand of grass in seeded areas.</w:t>
      </w:r>
    </w:p>
    <w:p w:rsidR="00DA3F5D" w:rsidRDefault="00DA3F5D" w:rsidP="0084466B">
      <w:pPr>
        <w:pStyle w:val="PR1"/>
      </w:pPr>
      <w:r>
        <w:t>Protect and maintain seeded areas prior to final acceptance.</w:t>
      </w:r>
    </w:p>
    <w:p w:rsidR="00DA3F5D" w:rsidRDefault="00DA3F5D" w:rsidP="007C07F8">
      <w:pPr>
        <w:pStyle w:val="ART"/>
        <w:keepNext/>
        <w:keepLines/>
      </w:pPr>
      <w:r>
        <w:t>SECURING WORK AREAS</w:t>
      </w:r>
    </w:p>
    <w:p w:rsidR="00DA3F5D" w:rsidRDefault="00DA3F5D" w:rsidP="0084466B">
      <w:pPr>
        <w:pStyle w:val="PR1"/>
      </w:pPr>
      <w:r>
        <w:t xml:space="preserve">Secure, in a manner acceptable to the Port, points of access to work areas </w:t>
      </w:r>
      <w:proofErr w:type="gramStart"/>
      <w:r>
        <w:t>in order to</w:t>
      </w:r>
      <w:proofErr w:type="gramEnd"/>
      <w:r>
        <w:t xml:space="preserve"> prevent and/or discourage illegal dumping.</w:t>
      </w:r>
    </w:p>
    <w:p w:rsidR="00DA3F5D" w:rsidRDefault="00DA3F5D" w:rsidP="0084466B">
      <w:pPr>
        <w:pStyle w:val="PR1"/>
      </w:pPr>
      <w:r>
        <w:t xml:space="preserve">Material dumped on work areas due to failure of the Contractor to provide acceptable security shall be removed at no </w:t>
      </w:r>
      <w:r w:rsidR="004326B5">
        <w:t>additional cost</w:t>
      </w:r>
      <w:r>
        <w:t xml:space="preserve"> to the Port.</w:t>
      </w:r>
    </w:p>
    <w:p w:rsidR="00DA3F5D" w:rsidRDefault="00DA3F5D" w:rsidP="007C07F8">
      <w:pPr>
        <w:pStyle w:val="PR1"/>
        <w:keepNext/>
        <w:keepLines/>
      </w:pPr>
      <w:r>
        <w:lastRenderedPageBreak/>
        <w:t>Responsibility for securing work area shall terminate upon final acceptance of the work area by the Port.</w:t>
      </w:r>
    </w:p>
    <w:p w:rsidR="00DA3F5D" w:rsidRDefault="00DA3F5D" w:rsidP="00D15EC2">
      <w:pPr>
        <w:pStyle w:val="EOS"/>
      </w:pPr>
      <w:r>
        <w:t>END OF SECTION</w:t>
      </w:r>
      <w:r w:rsidR="00D15EC2">
        <w:t xml:space="preserve"> </w:t>
      </w:r>
      <w:r w:rsidR="00E74CBB">
        <w:t>329200</w:t>
      </w:r>
    </w:p>
    <w:sectPr w:rsidR="00DA3F5D" w:rsidSect="007D4329">
      <w:headerReference w:type="even" r:id="rId7"/>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95B" w:rsidRDefault="009C195B">
      <w:r>
        <w:separator/>
      </w:r>
    </w:p>
  </w:endnote>
  <w:endnote w:type="continuationSeparator" w:id="0">
    <w:p w:rsidR="009C195B" w:rsidRDefault="009C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007" w:rsidRPr="003770E7" w:rsidRDefault="00E55007" w:rsidP="002D52EF">
    <w:pPr>
      <w:rPr>
        <w:sz w:val="18"/>
        <w:szCs w:val="18"/>
      </w:rPr>
    </w:pPr>
  </w:p>
  <w:tbl>
    <w:tblPr>
      <w:tblW w:w="0" w:type="auto"/>
      <w:tblLook w:val="01E0" w:firstRow="1" w:lastRow="1" w:firstColumn="1" w:lastColumn="1" w:noHBand="0" w:noVBand="0"/>
    </w:tblPr>
    <w:tblGrid>
      <w:gridCol w:w="2843"/>
      <w:gridCol w:w="6517"/>
    </w:tblGrid>
    <w:tr w:rsidR="00E55007" w:rsidRPr="008B4A65" w:rsidTr="008B4A65">
      <w:tc>
        <w:tcPr>
          <w:tcW w:w="2898" w:type="dxa"/>
        </w:tcPr>
        <w:p w:rsidR="00E55007" w:rsidRPr="008B4A65" w:rsidRDefault="00E55007" w:rsidP="008B4A65">
          <w:pPr>
            <w:pStyle w:val="Footer"/>
            <w:tabs>
              <w:tab w:val="clear" w:pos="4320"/>
              <w:tab w:val="clear" w:pos="8640"/>
            </w:tabs>
            <w:rPr>
              <w:sz w:val="18"/>
              <w:szCs w:val="18"/>
            </w:rPr>
          </w:pPr>
          <w:r w:rsidRPr="008B4A65">
            <w:rPr>
              <w:sz w:val="18"/>
              <w:szCs w:val="18"/>
            </w:rPr>
            <w:t>CLEARING AND SEEDING</w:t>
          </w:r>
        </w:p>
      </w:tc>
      <w:tc>
        <w:tcPr>
          <w:tcW w:w="6678" w:type="dxa"/>
        </w:tcPr>
        <w:p w:rsidR="00E55007" w:rsidRPr="008B4A65" w:rsidRDefault="00AA5953" w:rsidP="008B4A65">
          <w:pPr>
            <w:pStyle w:val="Footer"/>
            <w:tabs>
              <w:tab w:val="clear" w:pos="4320"/>
              <w:tab w:val="clear" w:pos="8640"/>
            </w:tabs>
            <w:jc w:val="right"/>
            <w:rPr>
              <w:sz w:val="16"/>
              <w:szCs w:val="16"/>
            </w:rPr>
          </w:pPr>
          <w:r w:rsidRPr="008B4A65">
            <w:rPr>
              <w:sz w:val="16"/>
              <w:szCs w:val="16"/>
            </w:rPr>
            <w:fldChar w:fldCharType="begin"/>
          </w:r>
          <w:r w:rsidRPr="008B4A65">
            <w:rPr>
              <w:sz w:val="16"/>
              <w:szCs w:val="16"/>
            </w:rPr>
            <w:instrText xml:space="preserve"> DATE \@ "M/d/yyyy" </w:instrText>
          </w:r>
          <w:r w:rsidRPr="008B4A65">
            <w:rPr>
              <w:sz w:val="16"/>
              <w:szCs w:val="16"/>
            </w:rPr>
            <w:fldChar w:fldCharType="separate"/>
          </w:r>
          <w:r w:rsidR="001B45A7">
            <w:rPr>
              <w:noProof/>
              <w:sz w:val="16"/>
              <w:szCs w:val="16"/>
            </w:rPr>
            <w:t>7/5/2019</w:t>
          </w:r>
          <w:r w:rsidRPr="008B4A65">
            <w:rPr>
              <w:sz w:val="16"/>
              <w:szCs w:val="16"/>
            </w:rPr>
            <w:fldChar w:fldCharType="end"/>
          </w:r>
        </w:p>
      </w:tc>
    </w:tr>
    <w:tr w:rsidR="00E55007" w:rsidRPr="008B4A65" w:rsidTr="008B4A65">
      <w:trPr>
        <w:trHeight w:val="132"/>
      </w:trPr>
      <w:tc>
        <w:tcPr>
          <w:tcW w:w="2898" w:type="dxa"/>
        </w:tcPr>
        <w:p w:rsidR="00E55007" w:rsidRPr="008B4A65" w:rsidRDefault="00E55007" w:rsidP="008B4A65">
          <w:pPr>
            <w:pStyle w:val="Footer"/>
            <w:tabs>
              <w:tab w:val="clear" w:pos="4320"/>
              <w:tab w:val="clear" w:pos="8640"/>
            </w:tabs>
            <w:rPr>
              <w:sz w:val="18"/>
              <w:szCs w:val="18"/>
            </w:rPr>
          </w:pPr>
          <w:r w:rsidRPr="008B4A65">
            <w:rPr>
              <w:sz w:val="18"/>
              <w:szCs w:val="18"/>
            </w:rPr>
            <w:t>329200-</w:t>
          </w:r>
          <w:r w:rsidRPr="008B4A65">
            <w:rPr>
              <w:rStyle w:val="PageNumber"/>
              <w:sz w:val="18"/>
              <w:szCs w:val="18"/>
            </w:rPr>
            <w:fldChar w:fldCharType="begin"/>
          </w:r>
          <w:r w:rsidRPr="008B4A65">
            <w:rPr>
              <w:rStyle w:val="PageNumber"/>
              <w:sz w:val="18"/>
              <w:szCs w:val="18"/>
            </w:rPr>
            <w:instrText xml:space="preserve"> PAGE </w:instrText>
          </w:r>
          <w:r w:rsidRPr="008B4A65">
            <w:rPr>
              <w:rStyle w:val="PageNumber"/>
              <w:sz w:val="18"/>
              <w:szCs w:val="18"/>
            </w:rPr>
            <w:fldChar w:fldCharType="separate"/>
          </w:r>
          <w:r w:rsidR="004B6260">
            <w:rPr>
              <w:rStyle w:val="PageNumber"/>
              <w:noProof/>
              <w:sz w:val="18"/>
              <w:szCs w:val="18"/>
            </w:rPr>
            <w:t>6</w:t>
          </w:r>
          <w:r w:rsidRPr="008B4A65">
            <w:rPr>
              <w:rStyle w:val="PageNumber"/>
              <w:sz w:val="18"/>
              <w:szCs w:val="18"/>
            </w:rPr>
            <w:fldChar w:fldCharType="end"/>
          </w:r>
        </w:p>
      </w:tc>
      <w:tc>
        <w:tcPr>
          <w:tcW w:w="6678" w:type="dxa"/>
        </w:tcPr>
        <w:p w:rsidR="00E55007" w:rsidRPr="008B4A65" w:rsidRDefault="00E55007" w:rsidP="008B4A65">
          <w:pPr>
            <w:pStyle w:val="Footer"/>
            <w:tabs>
              <w:tab w:val="clear" w:pos="4320"/>
              <w:tab w:val="clear" w:pos="8640"/>
            </w:tabs>
            <w:jc w:val="right"/>
            <w:rPr>
              <w:sz w:val="16"/>
              <w:szCs w:val="16"/>
            </w:rPr>
          </w:pPr>
          <w:r w:rsidRPr="008B4A65">
            <w:rPr>
              <w:sz w:val="16"/>
              <w:szCs w:val="16"/>
            </w:rPr>
            <w:fldChar w:fldCharType="begin"/>
          </w:r>
          <w:r w:rsidRPr="008B4A65">
            <w:rPr>
              <w:sz w:val="16"/>
              <w:szCs w:val="16"/>
            </w:rPr>
            <w:instrText xml:space="preserve"> FILENAME  \* Upper \p  \* MERGEFORMAT </w:instrText>
          </w:r>
          <w:r w:rsidRPr="008B4A65">
            <w:rPr>
              <w:sz w:val="16"/>
              <w:szCs w:val="16"/>
            </w:rPr>
            <w:fldChar w:fldCharType="separate"/>
          </w:r>
          <w:r w:rsidR="002F1762">
            <w:rPr>
              <w:noProof/>
              <w:sz w:val="16"/>
              <w:szCs w:val="16"/>
            </w:rPr>
            <w:t>S:\MASTERS\DIV-32\329200MT.DOC</w:t>
          </w:r>
          <w:r w:rsidRPr="008B4A65">
            <w:rPr>
              <w:sz w:val="16"/>
              <w:szCs w:val="16"/>
            </w:rPr>
            <w:fldChar w:fldCharType="end"/>
          </w:r>
        </w:p>
      </w:tc>
    </w:tr>
  </w:tbl>
  <w:p w:rsidR="00E55007" w:rsidRPr="002D52EF" w:rsidRDefault="00E55007" w:rsidP="002D52EF">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007" w:rsidRPr="003770E7" w:rsidRDefault="00E55007" w:rsidP="002D52EF">
    <w:pPr>
      <w:rPr>
        <w:sz w:val="18"/>
        <w:szCs w:val="18"/>
      </w:rPr>
    </w:pPr>
  </w:p>
  <w:tbl>
    <w:tblPr>
      <w:tblW w:w="0" w:type="auto"/>
      <w:tblLook w:val="01E0" w:firstRow="1" w:lastRow="1" w:firstColumn="1" w:lastColumn="1" w:noHBand="0" w:noVBand="0"/>
    </w:tblPr>
    <w:tblGrid>
      <w:gridCol w:w="6604"/>
      <w:gridCol w:w="2756"/>
    </w:tblGrid>
    <w:tr w:rsidR="00E55007" w:rsidRPr="008B4A65" w:rsidTr="008B4A65">
      <w:tc>
        <w:tcPr>
          <w:tcW w:w="6768" w:type="dxa"/>
        </w:tcPr>
        <w:p w:rsidR="00E55007" w:rsidRPr="008B4A65" w:rsidRDefault="00AA5953" w:rsidP="008B4A65">
          <w:pPr>
            <w:pStyle w:val="Footer"/>
            <w:tabs>
              <w:tab w:val="clear" w:pos="4320"/>
              <w:tab w:val="clear" w:pos="8640"/>
            </w:tabs>
            <w:rPr>
              <w:sz w:val="16"/>
              <w:szCs w:val="16"/>
            </w:rPr>
          </w:pPr>
          <w:r w:rsidRPr="008B4A65">
            <w:rPr>
              <w:sz w:val="16"/>
              <w:szCs w:val="16"/>
            </w:rPr>
            <w:fldChar w:fldCharType="begin"/>
          </w:r>
          <w:r w:rsidRPr="008B4A65">
            <w:rPr>
              <w:sz w:val="16"/>
              <w:szCs w:val="16"/>
            </w:rPr>
            <w:instrText xml:space="preserve"> DATE \@ "M/d/yyyy" </w:instrText>
          </w:r>
          <w:r w:rsidRPr="008B4A65">
            <w:rPr>
              <w:sz w:val="16"/>
              <w:szCs w:val="16"/>
            </w:rPr>
            <w:fldChar w:fldCharType="separate"/>
          </w:r>
          <w:r w:rsidR="001B45A7">
            <w:rPr>
              <w:noProof/>
              <w:sz w:val="16"/>
              <w:szCs w:val="16"/>
            </w:rPr>
            <w:t>7/5/2019</w:t>
          </w:r>
          <w:r w:rsidRPr="008B4A65">
            <w:rPr>
              <w:sz w:val="16"/>
              <w:szCs w:val="16"/>
            </w:rPr>
            <w:fldChar w:fldCharType="end"/>
          </w:r>
        </w:p>
      </w:tc>
      <w:tc>
        <w:tcPr>
          <w:tcW w:w="2808" w:type="dxa"/>
        </w:tcPr>
        <w:p w:rsidR="00E55007" w:rsidRPr="008B4A65" w:rsidRDefault="00E55007" w:rsidP="008B4A65">
          <w:pPr>
            <w:pStyle w:val="Footer"/>
            <w:tabs>
              <w:tab w:val="clear" w:pos="4320"/>
              <w:tab w:val="clear" w:pos="8640"/>
              <w:tab w:val="right" w:pos="3762"/>
            </w:tabs>
            <w:jc w:val="right"/>
            <w:rPr>
              <w:sz w:val="18"/>
              <w:szCs w:val="18"/>
            </w:rPr>
          </w:pPr>
          <w:r w:rsidRPr="008B4A65">
            <w:rPr>
              <w:sz w:val="18"/>
              <w:szCs w:val="18"/>
            </w:rPr>
            <w:t>CLEARING AND SEEDING</w:t>
          </w:r>
        </w:p>
      </w:tc>
    </w:tr>
    <w:tr w:rsidR="00E55007" w:rsidRPr="008B4A65" w:rsidTr="008B4A65">
      <w:tc>
        <w:tcPr>
          <w:tcW w:w="6768" w:type="dxa"/>
        </w:tcPr>
        <w:p w:rsidR="00E55007" w:rsidRPr="008B4A65" w:rsidRDefault="00E55007" w:rsidP="008B4A65">
          <w:pPr>
            <w:pStyle w:val="Footer"/>
            <w:tabs>
              <w:tab w:val="clear" w:pos="4320"/>
              <w:tab w:val="clear" w:pos="8640"/>
            </w:tabs>
            <w:rPr>
              <w:sz w:val="16"/>
              <w:szCs w:val="16"/>
            </w:rPr>
          </w:pPr>
          <w:r w:rsidRPr="008B4A65">
            <w:rPr>
              <w:sz w:val="16"/>
              <w:szCs w:val="16"/>
            </w:rPr>
            <w:fldChar w:fldCharType="begin"/>
          </w:r>
          <w:r w:rsidRPr="008B4A65">
            <w:rPr>
              <w:sz w:val="16"/>
              <w:szCs w:val="16"/>
            </w:rPr>
            <w:instrText xml:space="preserve"> FILENAME  \* Upper \p  \* MERGEFORMAT </w:instrText>
          </w:r>
          <w:r w:rsidRPr="008B4A65">
            <w:rPr>
              <w:sz w:val="16"/>
              <w:szCs w:val="16"/>
            </w:rPr>
            <w:fldChar w:fldCharType="separate"/>
          </w:r>
          <w:r w:rsidR="002F1762">
            <w:rPr>
              <w:noProof/>
              <w:sz w:val="16"/>
              <w:szCs w:val="16"/>
            </w:rPr>
            <w:t>S:\MASTERS\DIV-32\329200MT.DOC</w:t>
          </w:r>
          <w:r w:rsidRPr="008B4A65">
            <w:rPr>
              <w:sz w:val="16"/>
              <w:szCs w:val="16"/>
            </w:rPr>
            <w:fldChar w:fldCharType="end"/>
          </w:r>
        </w:p>
      </w:tc>
      <w:tc>
        <w:tcPr>
          <w:tcW w:w="2808" w:type="dxa"/>
        </w:tcPr>
        <w:p w:rsidR="00E55007" w:rsidRPr="008B4A65" w:rsidRDefault="00E55007" w:rsidP="008B4A65">
          <w:pPr>
            <w:pStyle w:val="Footer"/>
            <w:tabs>
              <w:tab w:val="clear" w:pos="4320"/>
              <w:tab w:val="clear" w:pos="8640"/>
            </w:tabs>
            <w:jc w:val="right"/>
            <w:rPr>
              <w:sz w:val="18"/>
              <w:szCs w:val="18"/>
            </w:rPr>
          </w:pPr>
          <w:r w:rsidRPr="008B4A65">
            <w:rPr>
              <w:sz w:val="18"/>
              <w:szCs w:val="18"/>
            </w:rPr>
            <w:t>329200-</w:t>
          </w:r>
          <w:r w:rsidRPr="008B4A65">
            <w:rPr>
              <w:rStyle w:val="PageNumber"/>
              <w:sz w:val="18"/>
              <w:szCs w:val="18"/>
            </w:rPr>
            <w:fldChar w:fldCharType="begin"/>
          </w:r>
          <w:r w:rsidRPr="008B4A65">
            <w:rPr>
              <w:rStyle w:val="PageNumber"/>
              <w:sz w:val="18"/>
              <w:szCs w:val="18"/>
            </w:rPr>
            <w:instrText xml:space="preserve"> PAGE </w:instrText>
          </w:r>
          <w:r w:rsidRPr="008B4A65">
            <w:rPr>
              <w:rStyle w:val="PageNumber"/>
              <w:sz w:val="18"/>
              <w:szCs w:val="18"/>
            </w:rPr>
            <w:fldChar w:fldCharType="separate"/>
          </w:r>
          <w:r w:rsidR="004B6260">
            <w:rPr>
              <w:rStyle w:val="PageNumber"/>
              <w:noProof/>
              <w:sz w:val="18"/>
              <w:szCs w:val="18"/>
            </w:rPr>
            <w:t>5</w:t>
          </w:r>
          <w:r w:rsidRPr="008B4A65">
            <w:rPr>
              <w:rStyle w:val="PageNumber"/>
              <w:sz w:val="18"/>
              <w:szCs w:val="18"/>
            </w:rPr>
            <w:fldChar w:fldCharType="end"/>
          </w:r>
        </w:p>
      </w:tc>
    </w:tr>
  </w:tbl>
  <w:p w:rsidR="00E55007" w:rsidRPr="002D52EF" w:rsidRDefault="00E55007" w:rsidP="002D52EF">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95B" w:rsidRDefault="009C195B">
      <w:r>
        <w:separator/>
      </w:r>
    </w:p>
  </w:footnote>
  <w:footnote w:type="continuationSeparator" w:id="0">
    <w:p w:rsidR="009C195B" w:rsidRDefault="009C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007" w:rsidRDefault="00E55007" w:rsidP="006344F9">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007" w:rsidRPr="007D4329" w:rsidRDefault="00E55007" w:rsidP="007D4329">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65"/>
    <w:rsid w:val="000013F0"/>
    <w:rsid w:val="00017465"/>
    <w:rsid w:val="00120CA6"/>
    <w:rsid w:val="00167D8E"/>
    <w:rsid w:val="00181252"/>
    <w:rsid w:val="001B45A7"/>
    <w:rsid w:val="001C3B9D"/>
    <w:rsid w:val="001C4841"/>
    <w:rsid w:val="001C536F"/>
    <w:rsid w:val="002D52EF"/>
    <w:rsid w:val="002F1762"/>
    <w:rsid w:val="003664E9"/>
    <w:rsid w:val="004326B5"/>
    <w:rsid w:val="00437A5D"/>
    <w:rsid w:val="004B6260"/>
    <w:rsid w:val="004F008F"/>
    <w:rsid w:val="0054419F"/>
    <w:rsid w:val="005D0F02"/>
    <w:rsid w:val="005E1CF2"/>
    <w:rsid w:val="006344F9"/>
    <w:rsid w:val="006637C6"/>
    <w:rsid w:val="00711636"/>
    <w:rsid w:val="00725460"/>
    <w:rsid w:val="007655F0"/>
    <w:rsid w:val="00795F46"/>
    <w:rsid w:val="007C07F8"/>
    <w:rsid w:val="007D3349"/>
    <w:rsid w:val="007D4329"/>
    <w:rsid w:val="007F70BD"/>
    <w:rsid w:val="0084466B"/>
    <w:rsid w:val="008B4A65"/>
    <w:rsid w:val="008F5BFC"/>
    <w:rsid w:val="00934BD6"/>
    <w:rsid w:val="009C195B"/>
    <w:rsid w:val="009D4EA2"/>
    <w:rsid w:val="009E088F"/>
    <w:rsid w:val="00AA5953"/>
    <w:rsid w:val="00AA72A5"/>
    <w:rsid w:val="00BA6E59"/>
    <w:rsid w:val="00BD5CF7"/>
    <w:rsid w:val="00C4618A"/>
    <w:rsid w:val="00C90396"/>
    <w:rsid w:val="00D15EC2"/>
    <w:rsid w:val="00D237F0"/>
    <w:rsid w:val="00DA3F5D"/>
    <w:rsid w:val="00DD2574"/>
    <w:rsid w:val="00E32217"/>
    <w:rsid w:val="00E34528"/>
    <w:rsid w:val="00E40870"/>
    <w:rsid w:val="00E55007"/>
    <w:rsid w:val="00E74CBB"/>
    <w:rsid w:val="00FC7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5:chartTrackingRefBased/>
  <w15:docId w15:val="{0844C651-42BB-45EC-9E79-445201E9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181252"/>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rsid w:val="007D4329"/>
    <w:pPr>
      <w:tabs>
        <w:tab w:val="center" w:pos="4320"/>
        <w:tab w:val="right" w:pos="8640"/>
      </w:tabs>
    </w:pPr>
  </w:style>
  <w:style w:type="paragraph" w:styleId="Footer">
    <w:name w:val="footer"/>
    <w:basedOn w:val="Normal"/>
    <w:rsid w:val="007D4329"/>
    <w:pPr>
      <w:tabs>
        <w:tab w:val="center" w:pos="4320"/>
        <w:tab w:val="right" w:pos="8640"/>
      </w:tabs>
    </w:pPr>
  </w:style>
  <w:style w:type="table" w:styleId="TableGrid">
    <w:name w:val="Table Grid"/>
    <w:basedOn w:val="TableNormal"/>
    <w:rsid w:val="007D4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D4329"/>
  </w:style>
  <w:style w:type="paragraph" w:styleId="BalloonText">
    <w:name w:val="Balloon Text"/>
    <w:basedOn w:val="Normal"/>
    <w:link w:val="BalloonTextChar"/>
    <w:rsid w:val="00AA5953"/>
    <w:rPr>
      <w:rFonts w:ascii="Tahoma" w:hAnsi="Tahoma" w:cs="Tahoma"/>
      <w:sz w:val="16"/>
      <w:szCs w:val="16"/>
    </w:rPr>
  </w:style>
  <w:style w:type="character" w:customStyle="1" w:styleId="BalloonTextChar">
    <w:name w:val="Balloon Text Char"/>
    <w:link w:val="BalloonText"/>
    <w:rsid w:val="00AA5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688005">
      <w:bodyDiv w:val="1"/>
      <w:marLeft w:val="0"/>
      <w:marRight w:val="0"/>
      <w:marTop w:val="0"/>
      <w:marBottom w:val="0"/>
      <w:divBdr>
        <w:top w:val="none" w:sz="0" w:space="0" w:color="auto"/>
        <w:left w:val="none" w:sz="0" w:space="0" w:color="auto"/>
        <w:bottom w:val="none" w:sz="0" w:space="0" w:color="auto"/>
        <w:right w:val="none" w:sz="0" w:space="0" w:color="auto"/>
      </w:divBdr>
    </w:div>
    <w:div w:id="157512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1491</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329200 - CLEARING AND SEEDING</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329200 - CLEARING AND SEEDING</dc:title>
  <dc:subject/>
  <dc:creator>Port of Portland</dc:creator>
  <cp:keywords/>
  <dc:description/>
  <cp:lastModifiedBy>Schauble, Chris</cp:lastModifiedBy>
  <cp:revision>2</cp:revision>
  <cp:lastPrinted>2012-07-06T21:22:00Z</cp:lastPrinted>
  <dcterms:created xsi:type="dcterms:W3CDTF">2019-07-05T21:22:00Z</dcterms:created>
  <dcterms:modified xsi:type="dcterms:W3CDTF">2019-07-05T21:22:00Z</dcterms:modified>
</cp:coreProperties>
</file>